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#106bis-</w:t>
      </w:r>
      <w:r>
        <w:rPr>
          <w:rFonts w:ascii="Arial" w:hAnsi="Arial" w:cs="Arial"/>
          <w:b/>
          <w:bCs/>
          <w:sz w:val="22"/>
          <w:szCs w:val="22"/>
        </w:rPr>
        <w:t>e</w:t>
      </w:r>
      <w:r>
        <w:rPr>
          <w:rFonts w:ascii="Arial" w:hAnsi="Arial" w:cs="Arial"/>
          <w:b/>
          <w:bCs/>
          <w:sz w:val="22"/>
          <w:szCs w:val="22"/>
        </w:rPr>
        <w:tab/>
      </w:r>
      <w:r>
        <w:rPr>
          <w:rFonts w:hint="eastAsia" w:ascii="Arial" w:hAnsi="Arial" w:cs="Arial"/>
          <w:b/>
          <w:bCs/>
          <w:sz w:val="22"/>
          <w:szCs w:val="22"/>
        </w:rPr>
        <w:t xml:space="preserve">                                              R1-2109262</w:t>
      </w:r>
    </w:p>
    <w:p>
      <w:pPr>
        <w:widowControl w:val="0"/>
        <w:tabs>
          <w:tab w:val="center" w:pos="4536"/>
          <w:tab w:val="right" w:pos="9639"/>
        </w:tabs>
        <w:spacing w:beforeLines="0" w:after="120" w:line="240" w:lineRule="auto"/>
        <w:ind w:right="2"/>
        <w:rPr>
          <w:rFonts w:ascii="Arial" w:hAnsi="Arial" w:cs="Arial"/>
          <w:b/>
          <w:bCs/>
          <w:sz w:val="22"/>
          <w:szCs w:val="22"/>
        </w:rPr>
      </w:pPr>
      <w:r>
        <w:rPr>
          <w:rFonts w:ascii="Arial" w:hAnsi="Arial" w:eastAsia="MS Mincho" w:cs="Arial"/>
          <w:b/>
          <w:bCs/>
          <w:sz w:val="22"/>
          <w:szCs w:val="22"/>
          <w:lang w:eastAsia="ja-JP"/>
        </w:rPr>
        <w:t>e-Meeting,</w:t>
      </w:r>
      <w:r>
        <w:rPr>
          <w:rFonts w:ascii="Arial" w:hAnsi="Arial" w:cs="Arial"/>
          <w:b/>
          <w:bCs/>
          <w:sz w:val="22"/>
          <w:szCs w:val="22"/>
          <w:lang w:eastAsia="ja-JP"/>
        </w:rPr>
        <w:t xml:space="preserve"> </w:t>
      </w:r>
      <w:r>
        <w:rPr>
          <w:rFonts w:hint="eastAsia" w:ascii="Arial" w:hAnsi="Arial" w:cs="Arial"/>
          <w:b/>
          <w:bCs/>
          <w:sz w:val="22"/>
          <w:szCs w:val="22"/>
        </w:rPr>
        <w:t>October</w:t>
      </w:r>
      <w:r>
        <w:rPr>
          <w:rFonts w:ascii="Arial" w:hAnsi="Arial" w:cs="Arial"/>
          <w:b/>
          <w:bCs/>
          <w:sz w:val="22"/>
          <w:szCs w:val="22"/>
        </w:rPr>
        <w:t xml:space="preserve"> 1</w:t>
      </w:r>
      <w:r>
        <w:rPr>
          <w:rFonts w:hint="eastAsia" w:ascii="Arial" w:hAnsi="Arial" w:cs="Arial"/>
          <w:b/>
          <w:bCs/>
          <w:sz w:val="22"/>
          <w:szCs w:val="22"/>
        </w:rPr>
        <w:t>1</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hint="eastAsia" w:ascii="Arial" w:hAnsi="Arial" w:cs="Arial"/>
          <w:b/>
          <w:bCs/>
          <w:sz w:val="22"/>
          <w:szCs w:val="22"/>
        </w:rPr>
        <w:t>19</w:t>
      </w:r>
      <w:r>
        <w:rPr>
          <w:rFonts w:ascii="Arial" w:hAnsi="Arial" w:cs="Arial"/>
          <w:b/>
          <w:bCs/>
          <w:sz w:val="22"/>
          <w:szCs w:val="22"/>
          <w:vertAlign w:val="superscript"/>
          <w:lang w:eastAsia="ja-JP"/>
        </w:rPr>
        <w:t>th</w:t>
      </w:r>
      <w:r>
        <w:rPr>
          <w:rFonts w:ascii="Arial" w:hAnsi="Arial" w:eastAsia="MS Mincho" w:cs="Arial"/>
          <w:b/>
          <w:bCs/>
          <w:sz w:val="22"/>
          <w:szCs w:val="22"/>
          <w:lang w:eastAsia="ja-JP"/>
        </w:rPr>
        <w:t>, 2021</w:t>
      </w:r>
    </w:p>
    <w:p>
      <w:pPr>
        <w:widowControl w:val="0"/>
        <w:tabs>
          <w:tab w:val="left" w:pos="1985"/>
        </w:tabs>
        <w:spacing w:before="240"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Enhancements for simultaneous operation of child and parent links</w:t>
      </w:r>
    </w:p>
    <w:p>
      <w:pPr>
        <w:widowControl w:val="0"/>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Sanechips</w:t>
      </w:r>
    </w:p>
    <w:p>
      <w:pPr>
        <w:widowControl w:val="0"/>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8.10.2</w:t>
      </w:r>
    </w:p>
    <w:p>
      <w:pPr>
        <w:widowControl w:val="0"/>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keepNext w:val="0"/>
        <w:keepLines w:val="0"/>
        <w:widowControl w:val="0"/>
        <w:spacing w:before="120" w:after="120"/>
        <w:ind w:left="0"/>
        <w:rPr>
          <w:rFonts w:eastAsia="宋体"/>
        </w:rPr>
      </w:pPr>
      <w:r>
        <w:rPr>
          <w:rFonts w:hint="eastAsia" w:eastAsia="宋体"/>
        </w:rPr>
        <w:t>Introduction</w:t>
      </w:r>
    </w:p>
    <w:p>
      <w:pPr>
        <w:widowControl w:val="0"/>
        <w:spacing w:before="120" w:after="120"/>
        <w:rPr>
          <w:sz w:val="20"/>
        </w:rPr>
      </w:pPr>
      <w:r>
        <w:rPr>
          <w:rFonts w:hint="eastAsia"/>
          <w:sz w:val="20"/>
        </w:rPr>
        <w:t>I</w:t>
      </w:r>
      <w:r>
        <w:rPr>
          <w:sz w:val="20"/>
        </w:rPr>
        <w:t>n order to support simultaneous operation</w:t>
      </w:r>
      <w:r>
        <w:rPr>
          <w:rFonts w:hint="eastAsia"/>
          <w:sz w:val="20"/>
        </w:rPr>
        <w:t xml:space="preserve"> </w:t>
      </w:r>
      <w:r>
        <w:rPr>
          <w:sz w:val="20"/>
        </w:rPr>
        <w:t>by IAB-node’s child and parent links</w:t>
      </w:r>
      <w:r>
        <w:rPr>
          <w:rFonts w:hint="eastAsia"/>
          <w:sz w:val="20"/>
        </w:rPr>
        <w:t>, some enhancements</w:t>
      </w:r>
      <w:r>
        <w:rPr>
          <w:sz w:val="20"/>
        </w:rPr>
        <w:t xml:space="preserve"> such as</w:t>
      </w:r>
      <w:r>
        <w:rPr>
          <w:rFonts w:hint="eastAsia"/>
          <w:sz w:val="20"/>
        </w:rPr>
        <w:t xml:space="preserve"> </w:t>
      </w:r>
      <w:r>
        <w:rPr>
          <w:sz w:val="20"/>
        </w:rPr>
        <w:t>IAB-node timing, DL/UL power control</w:t>
      </w:r>
      <w:r>
        <w:rPr>
          <w:rFonts w:hint="eastAsia"/>
          <w:sz w:val="20"/>
        </w:rPr>
        <w:t>/sharing</w:t>
      </w:r>
      <w:r>
        <w:rPr>
          <w:sz w:val="20"/>
        </w:rPr>
        <w:t>,</w:t>
      </w:r>
      <w:r>
        <w:rPr>
          <w:rFonts w:hint="eastAsia"/>
          <w:sz w:val="20"/>
        </w:rPr>
        <w:t xml:space="preserve"> </w:t>
      </w:r>
      <w:r>
        <w:rPr>
          <w:sz w:val="20"/>
        </w:rPr>
        <w:t>and CLI and interference measurements</w:t>
      </w:r>
      <w:r>
        <w:rPr>
          <w:rFonts w:hint="eastAsia"/>
          <w:sz w:val="20"/>
        </w:rPr>
        <w:t xml:space="preserve"> were discussed. In this contribution, further views on these aspects are provided.</w:t>
      </w:r>
    </w:p>
    <w:p>
      <w:pPr>
        <w:pStyle w:val="2"/>
        <w:keepNext w:val="0"/>
        <w:keepLines w:val="0"/>
        <w:widowControl w:val="0"/>
        <w:pBdr>
          <w:top w:val="none" w:color="auto" w:sz="0" w:space="0"/>
        </w:pBdr>
        <w:snapToGrid w:val="0"/>
        <w:spacing w:before="120" w:after="120" w:line="240" w:lineRule="auto"/>
        <w:ind w:left="431" w:hanging="431"/>
        <w:jc w:val="left"/>
      </w:pPr>
      <w:r>
        <w:rPr>
          <w:rFonts w:hint="eastAsia" w:eastAsia="黑体"/>
          <w:szCs w:val="30"/>
        </w:rPr>
        <w:t>Enhancements for simultaneous operation</w:t>
      </w:r>
    </w:p>
    <w:p>
      <w:pPr>
        <w:pStyle w:val="4"/>
        <w:widowControl w:val="0"/>
        <w:spacing w:before="120" w:after="120"/>
        <w:ind w:right="210"/>
        <w:rPr>
          <w:rFonts w:ascii="Arial" w:hAnsi="Arial" w:cs="Arial"/>
        </w:rPr>
      </w:pPr>
      <w:r>
        <w:rPr>
          <w:rFonts w:hint="eastAsia" w:ascii="Arial" w:hAnsi="Arial" w:cs="Arial"/>
        </w:rPr>
        <w:t>2.1 T</w:t>
      </w:r>
      <w:r>
        <w:rPr>
          <w:rFonts w:ascii="Arial" w:hAnsi="Arial" w:cs="Arial"/>
        </w:rPr>
        <w:t>iming cases for simultaneous operation</w:t>
      </w:r>
    </w:p>
    <w:p>
      <w:pPr>
        <w:widowControl w:val="0"/>
        <w:spacing w:before="120" w:after="120"/>
        <w:rPr>
          <w:sz w:val="20"/>
        </w:rPr>
      </w:pPr>
      <w:r>
        <w:rPr>
          <w:sz w:val="20"/>
        </w:rPr>
        <w:t>The following agreements have been made in RAN1#10</w:t>
      </w:r>
      <w:r>
        <w:rPr>
          <w:rFonts w:hint="eastAsia"/>
          <w:sz w:val="20"/>
        </w:rPr>
        <w:t>6</w:t>
      </w:r>
      <w:r>
        <w:rPr>
          <w:sz w:val="20"/>
        </w:rPr>
        <w:t xml:space="preserve">-e on </w:t>
      </w:r>
      <w:r>
        <w:rPr>
          <w:rFonts w:hint="eastAsia"/>
          <w:sz w:val="20"/>
        </w:rPr>
        <w:t xml:space="preserve">timing </w:t>
      </w:r>
      <w:r>
        <w:rPr>
          <w:sz w:val="20"/>
        </w:rPr>
        <w:t>[1]: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widowControl w:val="0"/>
              <w:spacing w:before="120" w:after="120"/>
              <w:rPr>
                <w:rFonts w:cs="Times"/>
                <w:b/>
                <w:bCs/>
                <w:sz w:val="20"/>
                <w:highlight w:val="green"/>
              </w:rPr>
            </w:pPr>
            <w:r>
              <w:rPr>
                <w:rFonts w:cs="Times"/>
                <w:b/>
                <w:bCs/>
                <w:sz w:val="20"/>
                <w:highlight w:val="green"/>
              </w:rPr>
              <w:t>Agreement</w:t>
            </w:r>
          </w:p>
          <w:p>
            <w:pPr>
              <w:widowControl w:val="0"/>
              <w:spacing w:before="120" w:after="120"/>
              <w:rPr>
                <w:rFonts w:cs="Times"/>
                <w:sz w:val="20"/>
              </w:rPr>
            </w:pPr>
            <w:r>
              <w:rPr>
                <w:rFonts w:cs="Times"/>
                <w:sz w:val="20"/>
              </w:rPr>
              <w:t>For Case 6 timing at a given IAB-node, the IAB-MT Tx timing is set by the node to the timing obtained for the node’s DL Tx.</w:t>
            </w:r>
          </w:p>
          <w:p>
            <w:pPr>
              <w:pStyle w:val="34"/>
              <w:widowControl w:val="0"/>
              <w:numPr>
                <w:ilvl w:val="0"/>
                <w:numId w:val="8"/>
              </w:numPr>
              <w:spacing w:after="120"/>
              <w:textAlignment w:val="baseline"/>
              <w:rPr>
                <w:sz w:val="20"/>
                <w:szCs w:val="20"/>
              </w:rPr>
            </w:pPr>
            <w:r>
              <w:rPr>
                <w:rFonts w:cs="Times"/>
                <w:sz w:val="20"/>
                <w:szCs w:val="20"/>
              </w:rPr>
              <w:t>FFS: Need for additional details with reference to support of OTA synchronization (e.g. T_delta)</w:t>
            </w:r>
          </w:p>
          <w:p>
            <w:pPr>
              <w:widowControl w:val="0"/>
              <w:spacing w:before="120" w:after="120"/>
              <w:rPr>
                <w:rFonts w:cs="Times"/>
                <w:sz w:val="20"/>
              </w:rPr>
            </w:pPr>
          </w:p>
          <w:p>
            <w:pPr>
              <w:widowControl w:val="0"/>
              <w:spacing w:before="120" w:after="120"/>
              <w:rPr>
                <w:rFonts w:cs="Times"/>
                <w:b/>
                <w:bCs/>
                <w:sz w:val="20"/>
                <w:highlight w:val="green"/>
              </w:rPr>
            </w:pPr>
            <w:r>
              <w:rPr>
                <w:rFonts w:cs="Times"/>
                <w:b/>
                <w:bCs/>
                <w:sz w:val="20"/>
                <w:highlight w:val="green"/>
              </w:rPr>
              <w:t>Agreement</w:t>
            </w:r>
          </w:p>
          <w:p>
            <w:pPr>
              <w:widowControl w:val="0"/>
              <w:spacing w:before="120" w:after="120"/>
              <w:rPr>
                <w:rFonts w:cs="Times"/>
                <w:color w:val="000000"/>
                <w:sz w:val="20"/>
              </w:rPr>
            </w:pPr>
            <w:r>
              <w:rPr>
                <w:rFonts w:cs="Times"/>
                <w:color w:val="000000"/>
                <w:sz w:val="20"/>
              </w:rPr>
              <w:t>For Case 7 timing at a parent node, the IAB-MT Tx timing of the node is obtained via the legacy TA loop plus an offset from the parent node.</w:t>
            </w:r>
          </w:p>
          <w:p>
            <w:pPr>
              <w:pStyle w:val="34"/>
              <w:widowControl w:val="0"/>
              <w:numPr>
                <w:ilvl w:val="0"/>
                <w:numId w:val="9"/>
              </w:numPr>
              <w:spacing w:after="120"/>
              <w:rPr>
                <w:sz w:val="20"/>
                <w:szCs w:val="20"/>
              </w:rPr>
            </w:pPr>
            <w:r>
              <w:rPr>
                <w:rFonts w:cs="Times"/>
                <w:color w:val="000000"/>
                <w:sz w:val="20"/>
                <w:szCs w:val="20"/>
              </w:rPr>
              <w:t>FFS range, granularity, and signaling details of the offset.</w:t>
            </w:r>
          </w:p>
          <w:p>
            <w:pPr>
              <w:widowControl w:val="0"/>
              <w:spacing w:before="120" w:after="120"/>
              <w:rPr>
                <w:rFonts w:cs="Times"/>
                <w:sz w:val="20"/>
              </w:rPr>
            </w:pPr>
          </w:p>
          <w:p>
            <w:pPr>
              <w:widowControl w:val="0"/>
              <w:spacing w:before="120" w:after="120"/>
              <w:rPr>
                <w:rFonts w:cs="Times"/>
                <w:b/>
                <w:bCs/>
                <w:sz w:val="20"/>
                <w:highlight w:val="green"/>
              </w:rPr>
            </w:pPr>
            <w:r>
              <w:rPr>
                <w:rFonts w:cs="Times"/>
                <w:b/>
                <w:bCs/>
                <w:sz w:val="20"/>
                <w:highlight w:val="green"/>
              </w:rPr>
              <w:t>Agreement</w:t>
            </w:r>
          </w:p>
          <w:p>
            <w:pPr>
              <w:widowControl w:val="0"/>
              <w:spacing w:before="120" w:after="120"/>
              <w:rPr>
                <w:rFonts w:cs="Times"/>
                <w:sz w:val="20"/>
                <w:lang w:eastAsia="ja-JP"/>
              </w:rPr>
            </w:pPr>
            <w:r>
              <w:rPr>
                <w:rFonts w:cs="Times"/>
                <w:sz w:val="20"/>
                <w:lang w:eastAsia="ja-JP"/>
              </w:rPr>
              <w:t>An IAB-node is explicitly indicated by the parent node when Case 6 timing is performed at</w:t>
            </w:r>
            <w:r>
              <w:rPr>
                <w:rStyle w:val="57"/>
                <w:rFonts w:cs="Times"/>
                <w:sz w:val="20"/>
                <w:lang w:eastAsia="ja-JP"/>
              </w:rPr>
              <w:t> </w:t>
            </w:r>
            <w:r>
              <w:rPr>
                <w:rFonts w:cs="Times"/>
                <w:sz w:val="20"/>
                <w:lang w:eastAsia="ja-JP"/>
              </w:rPr>
              <w:t>the IAB-node at least for</w:t>
            </w:r>
            <w:r>
              <w:rPr>
                <w:rStyle w:val="57"/>
                <w:rFonts w:cs="Times"/>
                <w:sz w:val="20"/>
                <w:lang w:eastAsia="ja-JP"/>
              </w:rPr>
              <w:t> </w:t>
            </w:r>
            <w:r>
              <w:rPr>
                <w:rFonts w:cs="Times"/>
                <w:sz w:val="20"/>
                <w:lang w:eastAsia="ja-JP"/>
              </w:rPr>
              <w:t>specific time</w:t>
            </w:r>
            <w:r>
              <w:rPr>
                <w:rStyle w:val="57"/>
                <w:rFonts w:cs="Times"/>
                <w:sz w:val="20"/>
                <w:lang w:eastAsia="ja-JP"/>
              </w:rPr>
              <w:t> </w:t>
            </w:r>
            <w:r>
              <w:rPr>
                <w:rFonts w:cs="Times"/>
                <w:sz w:val="20"/>
                <w:lang w:eastAsia="ja-JP"/>
              </w:rPr>
              <w:t>resources.</w:t>
            </w:r>
          </w:p>
          <w:p>
            <w:pPr>
              <w:pStyle w:val="34"/>
              <w:widowControl w:val="0"/>
              <w:numPr>
                <w:ilvl w:val="0"/>
                <w:numId w:val="10"/>
              </w:numPr>
              <w:spacing w:after="120"/>
              <w:rPr>
                <w:rFonts w:cs="Times"/>
                <w:sz w:val="20"/>
                <w:szCs w:val="20"/>
                <w:lang w:eastAsia="ja-JP"/>
              </w:rPr>
            </w:pPr>
            <w:r>
              <w:rPr>
                <w:rFonts w:cs="Times"/>
                <w:sz w:val="20"/>
                <w:szCs w:val="20"/>
                <w:lang w:eastAsia="ja-JP"/>
              </w:rPr>
              <w:t>FFS: whether the indication should be associated with another dimensions, e.g. multiplexing cases</w:t>
            </w:r>
          </w:p>
          <w:p>
            <w:pPr>
              <w:pStyle w:val="34"/>
              <w:widowControl w:val="0"/>
              <w:numPr>
                <w:ilvl w:val="0"/>
                <w:numId w:val="10"/>
              </w:numPr>
              <w:spacing w:after="120"/>
              <w:rPr>
                <w:sz w:val="20"/>
              </w:rPr>
            </w:pPr>
            <w:r>
              <w:rPr>
                <w:rFonts w:cs="Times"/>
                <w:sz w:val="20"/>
                <w:szCs w:val="20"/>
                <w:lang w:eastAsia="ja-JP"/>
              </w:rPr>
              <w:t>FFS whether an IAB-node is explicitly indicated by the parent node when Case 7 timing is performed at the IAB-node.</w:t>
            </w:r>
          </w:p>
        </w:tc>
      </w:tr>
    </w:tbl>
    <w:p>
      <w:pPr>
        <w:widowControl w:val="0"/>
        <w:spacing w:before="120" w:after="120"/>
        <w:rPr>
          <w:sz w:val="20"/>
        </w:rPr>
      </w:pPr>
    </w:p>
    <w:p>
      <w:pPr>
        <w:widowControl w:val="0"/>
        <w:spacing w:before="120" w:after="120"/>
        <w:rPr>
          <w:b/>
          <w:i/>
          <w:sz w:val="20"/>
          <w:u w:val="single"/>
        </w:rPr>
      </w:pPr>
      <w:r>
        <w:rPr>
          <w:rFonts w:hint="eastAsia"/>
          <w:b/>
          <w:i/>
          <w:sz w:val="20"/>
          <w:u w:val="single"/>
        </w:rPr>
        <w:t>Whether to enhance on T_delta for case-6 timing</w:t>
      </w:r>
    </w:p>
    <w:p>
      <w:pPr>
        <w:spacing w:before="120" w:after="120"/>
        <w:rPr>
          <w:iCs/>
          <w:sz w:val="20"/>
        </w:rPr>
      </w:pPr>
      <w:r>
        <w:rPr>
          <w:rFonts w:hint="eastAsia"/>
          <w:sz w:val="20"/>
        </w:rPr>
        <w:t>For case-6 timing, the fundamental logic is</w:t>
      </w:r>
      <w:r>
        <w:rPr>
          <w:sz w:val="20"/>
        </w:rPr>
        <w:t xml:space="preserve"> that the IAB</w:t>
      </w:r>
      <w:r>
        <w:rPr>
          <w:rFonts w:hint="eastAsia"/>
          <w:sz w:val="20"/>
        </w:rPr>
        <w:t>-</w:t>
      </w:r>
      <w:r>
        <w:rPr>
          <w:sz w:val="20"/>
        </w:rPr>
        <w:t xml:space="preserve">node’s UL-Tx timing and its DL-Tx timing is </w:t>
      </w:r>
      <w:r>
        <w:rPr>
          <w:rFonts w:hint="eastAsia"/>
          <w:sz w:val="20"/>
        </w:rPr>
        <w:t>aligned</w:t>
      </w:r>
      <w:r>
        <w:rPr>
          <w:sz w:val="20"/>
        </w:rPr>
        <w:t xml:space="preserve">, </w:t>
      </w:r>
      <w:r>
        <w:rPr>
          <w:rFonts w:hint="eastAsia"/>
          <w:sz w:val="20"/>
        </w:rPr>
        <w:t>the</w:t>
      </w:r>
      <w:r>
        <w:rPr>
          <w:iCs/>
          <w:sz w:val="20"/>
        </w:rPr>
        <w:t xml:space="preserve"> legacy TA </w:t>
      </w:r>
      <w:r>
        <w:rPr>
          <w:iCs/>
          <w:kern w:val="0"/>
          <w:sz w:val="20"/>
        </w:rPr>
        <w:t>mechanism</w:t>
      </w:r>
      <w:r>
        <w:rPr>
          <w:rFonts w:hint="eastAsia"/>
          <w:iCs/>
          <w:kern w:val="0"/>
          <w:sz w:val="20"/>
        </w:rPr>
        <w:t xml:space="preserve"> would not be feasible for the UL transmission</w:t>
      </w:r>
      <w:r>
        <w:rPr>
          <w:iCs/>
          <w:sz w:val="20"/>
        </w:rPr>
        <w:t xml:space="preserve">. </w:t>
      </w:r>
      <w:r>
        <w:rPr>
          <w:rFonts w:hint="eastAsia"/>
          <w:iCs/>
          <w:sz w:val="20"/>
        </w:rPr>
        <w:t>As a result,</w:t>
      </w:r>
      <w:r>
        <w:rPr>
          <w:iCs/>
          <w:sz w:val="20"/>
        </w:rPr>
        <w:t xml:space="preserve"> UL-Rx timing at the parent node could be different between IAB</w:t>
      </w:r>
      <w:r>
        <w:rPr>
          <w:rFonts w:hint="eastAsia"/>
          <w:iCs/>
          <w:sz w:val="20"/>
        </w:rPr>
        <w:t>-</w:t>
      </w:r>
      <w:r>
        <w:rPr>
          <w:iCs/>
          <w:sz w:val="20"/>
        </w:rPr>
        <w:t xml:space="preserve">nodes and access UEs covered by the parent node. In this situation, </w:t>
      </w:r>
      <w:r>
        <w:rPr>
          <w:rFonts w:hint="eastAsia"/>
          <w:iCs/>
          <w:sz w:val="20"/>
        </w:rPr>
        <w:t xml:space="preserve">the </w:t>
      </w:r>
      <w:r>
        <w:rPr>
          <w:iCs/>
          <w:sz w:val="20"/>
        </w:rPr>
        <w:t>interference between IAB</w:t>
      </w:r>
      <w:r>
        <w:rPr>
          <w:rFonts w:hint="eastAsia"/>
          <w:iCs/>
          <w:sz w:val="20"/>
        </w:rPr>
        <w:t>-</w:t>
      </w:r>
      <w:r>
        <w:rPr>
          <w:iCs/>
          <w:sz w:val="20"/>
        </w:rPr>
        <w:t xml:space="preserve">nodes and access UEs covered by the parent node will be </w:t>
      </w:r>
      <w:r>
        <w:rPr>
          <w:rFonts w:hint="eastAsia"/>
          <w:iCs/>
          <w:sz w:val="20"/>
        </w:rPr>
        <w:t xml:space="preserve">more serious </w:t>
      </w:r>
      <w:r>
        <w:rPr>
          <w:iCs/>
          <w:sz w:val="20"/>
        </w:rPr>
        <w:t>due to UL receiving</w:t>
      </w:r>
      <w:r>
        <w:rPr>
          <w:rFonts w:hint="eastAsia"/>
          <w:iCs/>
          <w:sz w:val="20"/>
        </w:rPr>
        <w:t xml:space="preserve"> timing misalignment</w:t>
      </w:r>
      <w:r>
        <w:rPr>
          <w:iCs/>
          <w:sz w:val="20"/>
        </w:rPr>
        <w:t xml:space="preserve"> at the parent node side. To </w:t>
      </w:r>
      <w:r>
        <w:rPr>
          <w:rFonts w:hint="eastAsia"/>
          <w:iCs/>
          <w:sz w:val="20"/>
        </w:rPr>
        <w:t xml:space="preserve">avoid the issue of </w:t>
      </w:r>
      <w:r>
        <w:rPr>
          <w:iCs/>
          <w:sz w:val="20"/>
        </w:rPr>
        <w:t>UL</w:t>
      </w:r>
      <w:r>
        <w:rPr>
          <w:rFonts w:hint="eastAsia"/>
          <w:iCs/>
          <w:sz w:val="20"/>
        </w:rPr>
        <w:t>-Rx timing</w:t>
      </w:r>
      <w:r>
        <w:rPr>
          <w:iCs/>
          <w:sz w:val="20"/>
        </w:rPr>
        <w:t xml:space="preserve"> asynchronization, IAB</w:t>
      </w:r>
      <w:r>
        <w:rPr>
          <w:rFonts w:hint="eastAsia"/>
          <w:iCs/>
          <w:sz w:val="20"/>
        </w:rPr>
        <w:t>-</w:t>
      </w:r>
      <w:r>
        <w:rPr>
          <w:iCs/>
          <w:sz w:val="20"/>
        </w:rPr>
        <w:t xml:space="preserve">nodes and access UEs covered by the parent node are proposed to be </w:t>
      </w:r>
      <w:r>
        <w:rPr>
          <w:rFonts w:hint="eastAsia"/>
          <w:iCs/>
          <w:sz w:val="20"/>
        </w:rPr>
        <w:t>operated</w:t>
      </w:r>
      <w:r>
        <w:rPr>
          <w:iCs/>
          <w:sz w:val="20"/>
        </w:rPr>
        <w:t xml:space="preserve"> by TDM.</w:t>
      </w:r>
      <w:r>
        <w:rPr>
          <w:rFonts w:hint="eastAsia"/>
          <w:iCs/>
          <w:sz w:val="20"/>
        </w:rPr>
        <w:t xml:space="preserve"> This means that UEs can only work in TDMed slot with case-1 timing. In other words, if the system only works with case-6 timing, the UEs cannot work well, and the OTA alignment mechanism defined in Rel-16 is not feasible, the formula of DL_Tx timing needs to be redefined, as well as the range of T_delta. On the contrary,, if IAB-node works with case-1 timing and case-6 timing in TDMed mode, it can reuse Rel-16 mechanism to obtains DL-Tx timing according to case-1 timing, and UEs can also work properly in slot with case-1 timing.</w:t>
      </w:r>
    </w:p>
    <w:p>
      <w:pPr>
        <w:pStyle w:val="30"/>
        <w:spacing w:before="120" w:after="120"/>
        <w:rPr>
          <w:rFonts w:cs="Times"/>
          <w:lang w:val="en-US" w:eastAsia="zh-CN"/>
        </w:rPr>
      </w:pPr>
      <w:bookmarkStart w:id="0" w:name="_Toc13187"/>
      <w:bookmarkStart w:id="1" w:name="_Toc3572"/>
      <w:r>
        <w:rPr>
          <w:rFonts w:hint="eastAsia" w:cs="Times"/>
          <w:lang w:val="en-US" w:eastAsia="zh-CN"/>
        </w:rPr>
        <w:t>UEs cannot work properly if there is only case-6 timing in the system.</w:t>
      </w:r>
      <w:bookmarkEnd w:id="0"/>
      <w:bookmarkEnd w:id="1"/>
    </w:p>
    <w:p>
      <w:pPr>
        <w:pStyle w:val="29"/>
        <w:widowControl w:val="0"/>
        <w:spacing w:before="120" w:after="120"/>
        <w:rPr>
          <w:b w:val="0"/>
          <w:bCs w:val="0"/>
          <w:lang w:val="en-US" w:eastAsia="zh-CN"/>
        </w:rPr>
      </w:pPr>
      <w:bookmarkStart w:id="2" w:name="_Toc17491"/>
      <w:bookmarkStart w:id="3" w:name="_Toc83923231"/>
      <w:r>
        <w:rPr>
          <w:rFonts w:hint="eastAsia" w:cs="Times"/>
          <w:lang w:val="en-US" w:eastAsia="zh-CN"/>
        </w:rPr>
        <w:t>For OTA synchronization for case-6 timing, no additional standardization is required, i.e., DL-Tx timing can be obtained through case-1 timing.</w:t>
      </w:r>
      <w:bookmarkEnd w:id="2"/>
      <w:bookmarkEnd w:id="3"/>
    </w:p>
    <w:p>
      <w:pPr>
        <w:widowControl w:val="0"/>
        <w:spacing w:before="120" w:after="120"/>
        <w:rPr>
          <w:b/>
          <w:i/>
          <w:sz w:val="20"/>
          <w:u w:val="single"/>
        </w:rPr>
      </w:pPr>
      <w:r>
        <w:rPr>
          <w:rFonts w:hint="eastAsia"/>
          <w:b/>
          <w:i/>
          <w:sz w:val="20"/>
          <w:u w:val="single"/>
        </w:rPr>
        <w:t>Offset to achieve IAB-MT Tx timing for case-7 timing</w:t>
      </w:r>
    </w:p>
    <w:p>
      <w:pPr>
        <w:spacing w:before="120" w:after="120"/>
        <w:rPr>
          <w:sz w:val="20"/>
        </w:rPr>
      </w:pPr>
      <w:r>
        <w:rPr>
          <w:rFonts w:hint="eastAsia"/>
          <w:sz w:val="20"/>
        </w:rPr>
        <w:t xml:space="preserve">In order to obtain IAB MT-Tx timing of case-7 timing, the method with legacy TA loop plus offset has been agreed. The range, granularity and signaling related details of the offset will be further discussed here. </w:t>
      </w:r>
    </w:p>
    <w:p>
      <w:pPr>
        <w:spacing w:before="120" w:after="120"/>
        <w:rPr>
          <w:rFonts w:eastAsiaTheme="minorEastAsia"/>
          <w:sz w:val="20"/>
        </w:rPr>
      </w:pPr>
      <w:r>
        <w:rPr>
          <w:rFonts w:hint="eastAsia"/>
          <w:sz w:val="20"/>
        </w:rPr>
        <w:t xml:space="preserve">From the logical relationship of parameters, </w:t>
      </w:r>
      <w:r>
        <w:rPr>
          <w:rFonts w:hint="eastAsia"/>
          <w:i/>
          <w:iCs/>
          <w:sz w:val="20"/>
        </w:rPr>
        <w:t>Toffset=-(TP+Tg)</w:t>
      </w:r>
      <w:r>
        <w:rPr>
          <w:rFonts w:hint="eastAsia"/>
          <w:sz w:val="20"/>
        </w:rPr>
        <w:t xml:space="preserve">, where, </w:t>
      </w:r>
      <w:r>
        <w:rPr>
          <w:rFonts w:hint="eastAsia"/>
          <w:i/>
          <w:iCs/>
          <w:sz w:val="20"/>
        </w:rPr>
        <w:t>Toffset</w:t>
      </w:r>
      <w:r>
        <w:rPr>
          <w:rFonts w:hint="eastAsia"/>
          <w:sz w:val="20"/>
        </w:rPr>
        <w:t xml:space="preserve"> represents value of the offset, </w:t>
      </w:r>
      <w:r>
        <w:rPr>
          <w:rFonts w:hint="eastAsia"/>
          <w:i/>
          <w:iCs/>
          <w:sz w:val="20"/>
        </w:rPr>
        <w:t>TP</w:t>
      </w:r>
      <w:r>
        <w:rPr>
          <w:rFonts w:hint="eastAsia"/>
          <w:sz w:val="20"/>
        </w:rPr>
        <w:t xml:space="preserve"> represents transmission propagation between parent node and IAB-node, </w:t>
      </w:r>
      <w:r>
        <w:rPr>
          <w:rFonts w:hint="eastAsia"/>
          <w:i/>
          <w:iCs/>
          <w:sz w:val="20"/>
        </w:rPr>
        <w:t>Tg</w:t>
      </w:r>
      <w:r>
        <w:rPr>
          <w:rFonts w:hint="eastAsia"/>
          <w:sz w:val="20"/>
        </w:rPr>
        <w:t xml:space="preserve"> represents the time difference between legacy case-1 UL-Rx timing and DL-Tx timing at the IAB-node side, and </w:t>
      </w:r>
      <w:r>
        <w:rPr>
          <w:rFonts w:hint="eastAsia"/>
          <w:i/>
          <w:iCs/>
          <w:sz w:val="20"/>
        </w:rPr>
        <w:t>Tg=-2*Tdelta as defined in Rel-16</w:t>
      </w:r>
      <w:r>
        <w:rPr>
          <w:rFonts w:hint="eastAsia"/>
          <w:sz w:val="20"/>
        </w:rPr>
        <w:t xml:space="preserve">. In addition, if case-7 timing is negative TA, symbol level alignment should also be considered, thus, </w:t>
      </w:r>
      <w:r>
        <w:rPr>
          <w:rFonts w:hint="eastAsia"/>
          <w:i/>
          <w:iCs/>
          <w:sz w:val="20"/>
        </w:rPr>
        <w:t>Toffset=-(TP-2*Tdelta-M*Tsymbol)</w:t>
      </w:r>
      <w:r>
        <w:rPr>
          <w:rFonts w:hint="eastAsia"/>
          <w:sz w:val="20"/>
        </w:rPr>
        <w:t xml:space="preserve">, where, </w:t>
      </w:r>
      <w:r>
        <w:rPr>
          <w:rFonts w:hint="eastAsia"/>
          <w:i/>
          <w:iCs/>
          <w:sz w:val="20"/>
        </w:rPr>
        <w:t>M</w:t>
      </w:r>
      <w:r>
        <w:rPr>
          <w:rFonts w:hint="eastAsia"/>
          <w:sz w:val="20"/>
        </w:rPr>
        <w:t xml:space="preserve"> represents the number of OFDM symbols moved forward, </w:t>
      </w:r>
      <w:r>
        <w:rPr>
          <w:rFonts w:hint="eastAsia"/>
          <w:i/>
          <w:iCs/>
          <w:sz w:val="20"/>
        </w:rPr>
        <w:t>Tsymbol</w:t>
      </w:r>
      <w:r>
        <w:rPr>
          <w:rFonts w:hint="eastAsia"/>
          <w:sz w:val="20"/>
        </w:rPr>
        <w:t xml:space="preserve"> represents the time duration of OFDM symbol. From the formula, we can see that the range of </w:t>
      </w:r>
      <w:r>
        <w:rPr>
          <w:rFonts w:hint="eastAsia"/>
          <w:i/>
          <w:iCs/>
          <w:sz w:val="20"/>
        </w:rPr>
        <w:t>Toffset</w:t>
      </w:r>
      <w:r>
        <w:rPr>
          <w:rFonts w:hint="eastAsia"/>
          <w:sz w:val="20"/>
        </w:rPr>
        <w:t xml:space="preserve"> is determined by </w:t>
      </w:r>
      <w:r>
        <w:rPr>
          <w:rFonts w:hint="eastAsia"/>
          <w:i/>
          <w:iCs/>
          <w:sz w:val="20"/>
        </w:rPr>
        <w:t>TP</w:t>
      </w:r>
      <w:r>
        <w:rPr>
          <w:rFonts w:hint="eastAsia"/>
          <w:sz w:val="20"/>
        </w:rPr>
        <w:t xml:space="preserve">, </w:t>
      </w:r>
      <w:r>
        <w:rPr>
          <w:rFonts w:hint="eastAsia"/>
          <w:i/>
          <w:iCs/>
          <w:sz w:val="20"/>
        </w:rPr>
        <w:t>Tdelta</w:t>
      </w:r>
      <w:r>
        <w:rPr>
          <w:rFonts w:hint="eastAsia"/>
          <w:sz w:val="20"/>
        </w:rPr>
        <w:t xml:space="preserve">, </w:t>
      </w:r>
      <w:r>
        <w:rPr>
          <w:rFonts w:hint="eastAsia"/>
          <w:i/>
          <w:iCs/>
          <w:sz w:val="20"/>
        </w:rPr>
        <w:t>M</w:t>
      </w:r>
      <w:r>
        <w:rPr>
          <w:rFonts w:hint="eastAsia"/>
          <w:sz w:val="20"/>
        </w:rPr>
        <w:t xml:space="preserve"> and </w:t>
      </w:r>
      <w:r>
        <w:rPr>
          <w:rFonts w:hint="eastAsia"/>
          <w:i/>
          <w:iCs/>
          <w:sz w:val="20"/>
        </w:rPr>
        <w:t>Tsymbol</w:t>
      </w:r>
      <w:r>
        <w:rPr>
          <w:rFonts w:hint="eastAsia"/>
          <w:sz w:val="20"/>
        </w:rPr>
        <w:t xml:space="preserve">. The range of </w:t>
      </w:r>
      <w:r>
        <w:rPr>
          <w:rFonts w:hint="eastAsia"/>
          <w:i/>
          <w:iCs/>
          <w:sz w:val="20"/>
        </w:rPr>
        <w:t>Tdelta</w:t>
      </w:r>
      <w:r>
        <w:rPr>
          <w:rFonts w:hint="eastAsia"/>
          <w:sz w:val="20"/>
        </w:rPr>
        <w:t xml:space="preserve"> has been determined by Rel-16, i.e., as long as </w:t>
      </w:r>
      <w:r>
        <w:rPr>
          <w:rFonts w:hint="eastAsia"/>
          <w:i/>
          <w:iCs/>
          <w:sz w:val="20"/>
        </w:rPr>
        <w:t>TP</w:t>
      </w:r>
      <w:r>
        <w:rPr>
          <w:rFonts w:hint="eastAsia"/>
          <w:sz w:val="20"/>
        </w:rPr>
        <w:t xml:space="preserve">, </w:t>
      </w:r>
      <w:r>
        <w:rPr>
          <w:rFonts w:hint="eastAsia"/>
          <w:i/>
          <w:iCs/>
          <w:sz w:val="20"/>
        </w:rPr>
        <w:t>M</w:t>
      </w:r>
      <w:r>
        <w:rPr>
          <w:rFonts w:hint="eastAsia"/>
          <w:sz w:val="20"/>
        </w:rPr>
        <w:t xml:space="preserve"> and </w:t>
      </w:r>
      <w:r>
        <w:rPr>
          <w:rFonts w:hint="eastAsia"/>
          <w:i/>
          <w:iCs/>
          <w:sz w:val="20"/>
        </w:rPr>
        <w:t>Tsymbol</w:t>
      </w:r>
      <w:r>
        <w:rPr>
          <w:rFonts w:hint="eastAsia"/>
          <w:sz w:val="20"/>
        </w:rPr>
        <w:t xml:space="preserve"> is clear, we can get the range of </w:t>
      </w:r>
      <w:r>
        <w:rPr>
          <w:rFonts w:hint="eastAsia"/>
          <w:i/>
          <w:iCs/>
          <w:sz w:val="20"/>
        </w:rPr>
        <w:t>Toffset</w:t>
      </w:r>
      <w:r>
        <w:rPr>
          <w:rFonts w:hint="eastAsia"/>
          <w:sz w:val="20"/>
        </w:rPr>
        <w:t xml:space="preserve">. Here, it is assumed that the distance between </w:t>
      </w:r>
      <w:r>
        <w:rPr>
          <w:rFonts w:hint="eastAsia"/>
          <w:sz w:val="20"/>
          <w:lang w:val="en-US" w:eastAsia="zh-CN"/>
        </w:rPr>
        <w:t xml:space="preserve">parent node and the IAB </w:t>
      </w:r>
      <w:r>
        <w:rPr>
          <w:rFonts w:hint="eastAsia"/>
          <w:sz w:val="20"/>
        </w:rPr>
        <w:t xml:space="preserve">node is 500 m, then, </w:t>
      </w:r>
      <w:r>
        <w:rPr>
          <w:rFonts w:hint="eastAsia"/>
          <w:i/>
          <w:iCs/>
          <w:sz w:val="20"/>
        </w:rPr>
        <w:t>TP=3277 Tc</w:t>
      </w:r>
      <w:r>
        <w:rPr>
          <w:rFonts w:hint="eastAsia"/>
          <w:sz w:val="20"/>
        </w:rPr>
        <w:t xml:space="preserve">. On the other hand, </w:t>
      </w:r>
      <w:r>
        <w:rPr>
          <w:rFonts w:hint="eastAsia"/>
          <w:sz w:val="20"/>
          <w:lang w:val="en-US" w:eastAsia="zh-CN"/>
        </w:rPr>
        <w:t xml:space="preserve">taking SCS 15kHz as an example, the </w:t>
      </w:r>
      <w:r>
        <w:rPr>
          <w:rFonts w:hint="eastAsia"/>
          <w:sz w:val="20"/>
        </w:rPr>
        <w:t xml:space="preserve">duration of one OFDM symbol with normal CP (such as </w:t>
      </w:r>
      <w:r>
        <w:rPr>
          <w:rFonts w:hint="eastAsia"/>
          <w:i/>
          <w:iCs/>
          <w:sz w:val="20"/>
        </w:rPr>
        <w:t xml:space="preserve">160 </w:t>
      </w:r>
      <w:r>
        <w:rPr>
          <w:rFonts w:hint="eastAsia"/>
          <w:i/>
          <w:iCs/>
          <w:sz w:val="20"/>
          <w:lang w:val="en-US" w:eastAsia="zh-CN"/>
        </w:rPr>
        <w:t xml:space="preserve">*64 </w:t>
      </w:r>
      <w:r>
        <w:rPr>
          <w:rFonts w:hint="eastAsia"/>
          <w:i/>
          <w:iCs/>
          <w:sz w:val="20"/>
        </w:rPr>
        <w:t>Tc</w:t>
      </w:r>
      <w:r>
        <w:rPr>
          <w:rFonts w:hint="eastAsia"/>
          <w:sz w:val="20"/>
        </w:rPr>
        <w:t>)</w:t>
      </w:r>
      <w:r>
        <w:rPr>
          <w:rFonts w:hint="eastAsia"/>
          <w:sz w:val="20"/>
          <w:lang w:val="en-US" w:eastAsia="zh-CN"/>
        </w:rPr>
        <w:t xml:space="preserve"> can be expressed as </w:t>
      </w:r>
      <w:r>
        <w:rPr>
          <w:rFonts w:hint="eastAsia"/>
          <w:i/>
          <w:iCs/>
          <w:sz w:val="20"/>
        </w:rPr>
        <w:t>Tsymbol=141312 Tc</w:t>
      </w:r>
      <w:r>
        <w:rPr>
          <w:rFonts w:hint="eastAsia"/>
          <w:sz w:val="20"/>
        </w:rPr>
        <w:t xml:space="preserve">. Therefore, the range of </w:t>
      </w:r>
      <w:r>
        <w:rPr>
          <w:rFonts w:hint="eastAsia"/>
          <w:i/>
          <w:iCs/>
          <w:sz w:val="20"/>
        </w:rPr>
        <w:t>Toffset</w:t>
      </w:r>
      <w:r>
        <w:rPr>
          <w:rFonts w:hint="eastAsia"/>
          <w:sz w:val="20"/>
        </w:rPr>
        <w:t xml:space="preserve"> is shown in Table 1.</w:t>
      </w:r>
    </w:p>
    <w:p>
      <w:pPr>
        <w:spacing w:before="120" w:after="120"/>
        <w:jc w:val="center"/>
      </w:pPr>
      <w:r>
        <w:rPr>
          <w:rFonts w:hint="eastAsia"/>
        </w:rPr>
        <w:t xml:space="preserve">Table 1. Range of </w:t>
      </w:r>
      <w:r>
        <w:rPr>
          <w:rFonts w:hint="eastAsia"/>
          <w:i/>
          <w:iCs/>
        </w:rPr>
        <w:t>Toffset</w:t>
      </w:r>
      <w:bookmarkStart w:id="48" w:name="_GoBack"/>
      <w:bookmarkEnd w:id="48"/>
    </w:p>
    <w:tbl>
      <w:tblPr>
        <w:tblStyle w:val="21"/>
        <w:tblW w:w="5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2279"/>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5" w:type="dxa"/>
          </w:tcPr>
          <w:p>
            <w:pPr>
              <w:spacing w:before="120" w:after="120"/>
              <w:rPr>
                <w:rFonts w:ascii="Calibri" w:hAnsi="Calibri" w:cs="Calibri"/>
              </w:rPr>
            </w:pPr>
            <w:r>
              <w:rPr>
                <w:rFonts w:ascii="Calibri" w:hAnsi="Calibri" w:cs="Calibri"/>
              </w:rPr>
              <w:t>SCS [kHz]</w:t>
            </w:r>
          </w:p>
        </w:tc>
        <w:tc>
          <w:tcPr>
            <w:tcW w:w="2279" w:type="dxa"/>
          </w:tcPr>
          <w:p>
            <w:pPr>
              <w:spacing w:before="120" w:after="120"/>
              <w:rPr>
                <w:rFonts w:ascii="Calibri" w:hAnsi="Calibri" w:cs="Calibri"/>
              </w:rPr>
            </w:pPr>
            <w:r>
              <w:rPr>
                <w:rFonts w:ascii="Calibri" w:hAnsi="Calibri" w:cs="Calibri"/>
              </w:rPr>
              <w:t xml:space="preserve">Min </w:t>
            </w:r>
            <w:r>
              <w:rPr>
                <w:rFonts w:hint="eastAsia"/>
                <w:i/>
                <w:iCs/>
              </w:rPr>
              <w:t>Toffset</w:t>
            </w:r>
            <w:r>
              <w:rPr>
                <w:rFonts w:ascii="Calibri" w:hAnsi="Calibri" w:cs="Calibri"/>
              </w:rPr>
              <w:t xml:space="preserve"> [Tc]</w:t>
            </w:r>
          </w:p>
        </w:tc>
        <w:tc>
          <w:tcPr>
            <w:tcW w:w="2036" w:type="dxa"/>
          </w:tcPr>
          <w:p>
            <w:pPr>
              <w:spacing w:before="120" w:after="120"/>
              <w:rPr>
                <w:rFonts w:ascii="Calibri" w:hAnsi="Calibri" w:cs="Calibri"/>
              </w:rPr>
            </w:pPr>
            <w:r>
              <w:rPr>
                <w:rFonts w:ascii="Calibri" w:hAnsi="Calibri" w:cs="Calibri"/>
              </w:rPr>
              <w:t xml:space="preserve">Max </w:t>
            </w:r>
            <w:r>
              <w:rPr>
                <w:rFonts w:hint="eastAsia"/>
                <w:i/>
                <w:iCs/>
              </w:rPr>
              <w:t>Toffset</w:t>
            </w:r>
            <w:r>
              <w:rPr>
                <w:rFonts w:ascii="Calibri" w:hAnsi="Calibri" w:cs="Calibri"/>
              </w:rPr>
              <w:t xml:space="preserve"> [Tc]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5" w:type="dxa"/>
          </w:tcPr>
          <w:p>
            <w:pPr>
              <w:spacing w:before="120" w:after="120"/>
              <w:rPr>
                <w:rFonts w:ascii="Calibri" w:hAnsi="Calibri" w:cs="Calibri"/>
              </w:rPr>
            </w:pPr>
            <w:r>
              <w:rPr>
                <w:rFonts w:ascii="Calibri" w:hAnsi="Calibri" w:cs="Calibri"/>
              </w:rPr>
              <w:t>15</w:t>
            </w:r>
          </w:p>
        </w:tc>
        <w:tc>
          <w:tcPr>
            <w:tcW w:w="2279" w:type="dxa"/>
            <w:vAlign w:val="bottom"/>
          </w:tcPr>
          <w:p>
            <w:pPr>
              <w:spacing w:before="120" w:after="120"/>
              <w:rPr>
                <w:rFonts w:ascii="Calibri" w:hAnsi="Calibri" w:cs="Calibri" w:eastAsiaTheme="minorEastAsia"/>
                <w:color w:val="000000"/>
              </w:rPr>
            </w:pPr>
            <w:r>
              <w:rPr>
                <w:rFonts w:hint="eastAsia" w:ascii="Calibri" w:hAnsi="Calibri" w:cs="Calibri"/>
              </w:rPr>
              <w:t>-</w:t>
            </w:r>
            <w:r>
              <w:rPr>
                <w:rFonts w:ascii="Calibri" w:hAnsi="Calibri" w:cs="Calibri"/>
                <w:b/>
                <w:position w:val="-10"/>
              </w:rPr>
              <w:drawing>
                <wp:inline distT="0" distB="0" distL="114300" distR="114300">
                  <wp:extent cx="494665" cy="187960"/>
                  <wp:effectExtent l="0" t="0" r="635" b="1905"/>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pic:cNvPicPr>
                        </pic:nvPicPr>
                        <pic:blipFill>
                          <a:blip r:embed="rId10"/>
                          <a:stretch>
                            <a:fillRect/>
                          </a:stretch>
                        </pic:blipFill>
                        <pic:spPr>
                          <a:xfrm>
                            <a:off x="0" y="0"/>
                            <a:ext cx="494665" cy="187960"/>
                          </a:xfrm>
                          <a:prstGeom prst="rect">
                            <a:avLst/>
                          </a:prstGeom>
                          <a:noFill/>
                          <a:ln w="9525">
                            <a:noFill/>
                          </a:ln>
                        </pic:spPr>
                      </pic:pic>
                    </a:graphicData>
                  </a:graphic>
                </wp:inline>
              </w:drawing>
            </w:r>
            <w:r>
              <w:rPr>
                <w:rFonts w:hint="eastAsia" w:ascii="Calibri" w:hAnsi="Calibri" w:cs="Calibri"/>
              </w:rPr>
              <w:t>-</w:t>
            </w:r>
            <w:r>
              <w:rPr>
                <w:rFonts w:ascii="Calibri" w:hAnsi="Calibri" w:cs="Calibri"/>
              </w:rPr>
              <w:t xml:space="preserve"> </w:t>
            </w:r>
            <w:r>
              <w:rPr>
                <w:rFonts w:hint="eastAsia" w:ascii="Calibri" w:hAnsi="Calibri" w:cs="Calibri"/>
              </w:rPr>
              <w:t>2*</w:t>
            </w:r>
            <w:r>
              <w:rPr>
                <w:rFonts w:ascii="Calibri" w:hAnsi="Calibri" w:cs="Calibri"/>
              </w:rPr>
              <w:t>70528</w:t>
            </w:r>
            <w:r>
              <w:rPr>
                <w:rFonts w:hint="eastAsia" w:ascii="Calibri" w:hAnsi="Calibri" w:cs="Calibri"/>
              </w:rPr>
              <w:t xml:space="preserve"> - 3277 + M*141312</w:t>
            </w:r>
          </w:p>
        </w:tc>
        <w:tc>
          <w:tcPr>
            <w:tcW w:w="2036" w:type="dxa"/>
          </w:tcPr>
          <w:p>
            <w:pPr>
              <w:spacing w:before="120" w:after="120"/>
              <w:rPr>
                <w:rFonts w:ascii="Calibri" w:hAnsi="Calibri" w:cs="Calibri" w:eastAsiaTheme="minorEastAsia"/>
              </w:rPr>
            </w:pPr>
            <w:r>
              <w:rPr>
                <w:rFonts w:hint="eastAsia" w:ascii="Calibri" w:hAnsi="Calibri" w:cs="Calibri"/>
              </w:rPr>
              <w:t>-</w:t>
            </w:r>
            <w:r>
              <w:rPr>
                <w:rFonts w:ascii="Calibri" w:hAnsi="Calibri" w:cs="Calibri"/>
                <w:b/>
                <w:position w:val="-10"/>
              </w:rPr>
              <w:drawing>
                <wp:inline distT="0" distB="0" distL="114300" distR="114300">
                  <wp:extent cx="494665" cy="187960"/>
                  <wp:effectExtent l="0" t="0" r="635" b="1905"/>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10"/>
                          <a:stretch>
                            <a:fillRect/>
                          </a:stretch>
                        </pic:blipFill>
                        <pic:spPr>
                          <a:xfrm>
                            <a:off x="0" y="0"/>
                            <a:ext cx="494665" cy="187960"/>
                          </a:xfrm>
                          <a:prstGeom prst="rect">
                            <a:avLst/>
                          </a:prstGeom>
                          <a:noFill/>
                          <a:ln w="9525">
                            <a:noFill/>
                          </a:ln>
                        </pic:spPr>
                      </pic:pic>
                    </a:graphicData>
                  </a:graphic>
                </wp:inline>
              </w:drawing>
            </w:r>
            <w:r>
              <w:rPr>
                <w:rFonts w:hint="eastAsia" w:ascii="Calibri" w:hAnsi="Calibri" w:cs="Calibri"/>
              </w:rPr>
              <w:t>+</w:t>
            </w:r>
            <w:r>
              <w:rPr>
                <w:rFonts w:ascii="Calibri" w:hAnsi="Calibri" w:cs="Calibri"/>
                <w:lang w:val="sv-SE"/>
              </w:rPr>
              <w:t xml:space="preserve"> </w:t>
            </w:r>
            <w:r>
              <w:rPr>
                <w:rFonts w:hint="eastAsia" w:ascii="Calibri" w:hAnsi="Calibri" w:cs="Calibri"/>
              </w:rPr>
              <w:t>2*</w:t>
            </w:r>
            <w:r>
              <w:rPr>
                <w:rFonts w:ascii="Calibri" w:hAnsi="Calibri" w:cs="Calibri"/>
              </w:rPr>
              <w:t>6256</w:t>
            </w:r>
            <w:r>
              <w:rPr>
                <w:rFonts w:hint="eastAsia" w:ascii="Calibri" w:hAnsi="Calibri" w:cs="Calibri"/>
              </w:rPr>
              <w:t xml:space="preserve"> - 3277 + M*141312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5" w:type="dxa"/>
          </w:tcPr>
          <w:p>
            <w:pPr>
              <w:spacing w:before="120" w:after="120"/>
              <w:rPr>
                <w:rFonts w:ascii="Calibri" w:hAnsi="Calibri" w:cs="Calibri"/>
              </w:rPr>
            </w:pPr>
            <w:r>
              <w:rPr>
                <w:rFonts w:ascii="Calibri" w:hAnsi="Calibri" w:cs="Calibri"/>
              </w:rPr>
              <w:t>30</w:t>
            </w:r>
          </w:p>
        </w:tc>
        <w:tc>
          <w:tcPr>
            <w:tcW w:w="2279" w:type="dxa"/>
            <w:vAlign w:val="bottom"/>
          </w:tcPr>
          <w:p>
            <w:pPr>
              <w:spacing w:before="120" w:after="120"/>
              <w:rPr>
                <w:rFonts w:ascii="Calibri" w:hAnsi="Calibri" w:cs="Calibri"/>
              </w:rPr>
            </w:pPr>
            <w:r>
              <w:rPr>
                <w:rFonts w:hint="eastAsia" w:ascii="Calibri" w:hAnsi="Calibri" w:cs="Calibri"/>
              </w:rPr>
              <w:t>-</w:t>
            </w:r>
            <w:r>
              <w:rPr>
                <w:rFonts w:ascii="Calibri" w:hAnsi="Calibri" w:cs="Calibri"/>
                <w:b/>
                <w:position w:val="-10"/>
              </w:rPr>
              <w:drawing>
                <wp:inline distT="0" distB="0" distL="114300" distR="114300">
                  <wp:extent cx="494665" cy="187960"/>
                  <wp:effectExtent l="0" t="0" r="635" b="1905"/>
                  <wp:docPr id="1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1"/>
                          <pic:cNvPicPr>
                            <a:picLocks noChangeAspect="1"/>
                          </pic:cNvPicPr>
                        </pic:nvPicPr>
                        <pic:blipFill>
                          <a:blip r:embed="rId10"/>
                          <a:stretch>
                            <a:fillRect/>
                          </a:stretch>
                        </pic:blipFill>
                        <pic:spPr>
                          <a:xfrm>
                            <a:off x="0" y="0"/>
                            <a:ext cx="494665" cy="187960"/>
                          </a:xfrm>
                          <a:prstGeom prst="rect">
                            <a:avLst/>
                          </a:prstGeom>
                          <a:noFill/>
                          <a:ln w="9525">
                            <a:noFill/>
                          </a:ln>
                        </pic:spPr>
                      </pic:pic>
                    </a:graphicData>
                  </a:graphic>
                </wp:inline>
              </w:drawing>
            </w:r>
            <w:r>
              <w:rPr>
                <w:rFonts w:hint="eastAsia" w:ascii="Calibri" w:hAnsi="Calibri" w:cs="Calibri"/>
              </w:rPr>
              <w:t>-</w:t>
            </w:r>
            <w:r>
              <w:rPr>
                <w:rFonts w:ascii="Calibri" w:hAnsi="Calibri" w:cs="Calibri"/>
              </w:rPr>
              <w:t xml:space="preserve"> </w:t>
            </w:r>
            <w:r>
              <w:rPr>
                <w:rFonts w:hint="eastAsia" w:ascii="Calibri" w:hAnsi="Calibri" w:cs="Calibri"/>
              </w:rPr>
              <w:t>2*</w:t>
            </w:r>
            <w:r>
              <w:rPr>
                <w:rFonts w:ascii="Calibri" w:hAnsi="Calibri" w:cs="Calibri"/>
              </w:rPr>
              <w:t>35328</w:t>
            </w:r>
            <w:r>
              <w:rPr>
                <w:rFonts w:hint="eastAsia" w:ascii="Calibri" w:hAnsi="Calibri" w:cs="Calibri"/>
              </w:rPr>
              <w:t xml:space="preserve"> - 3277 + M*71168</w:t>
            </w:r>
          </w:p>
        </w:tc>
        <w:tc>
          <w:tcPr>
            <w:tcW w:w="2036" w:type="dxa"/>
          </w:tcPr>
          <w:p>
            <w:pPr>
              <w:spacing w:before="120" w:after="120"/>
              <w:rPr>
                <w:rFonts w:ascii="Calibri" w:hAnsi="Calibri" w:cs="Calibri" w:eastAsiaTheme="minorEastAsia"/>
              </w:rPr>
            </w:pPr>
            <w:r>
              <w:rPr>
                <w:rFonts w:hint="eastAsia" w:ascii="Calibri" w:hAnsi="Calibri" w:cs="Calibri"/>
              </w:rPr>
              <w:t>-</w:t>
            </w:r>
            <w:r>
              <w:rPr>
                <w:rFonts w:ascii="Calibri" w:hAnsi="Calibri" w:cs="Calibri"/>
                <w:b/>
                <w:position w:val="-10"/>
              </w:rPr>
              <w:drawing>
                <wp:inline distT="0" distB="0" distL="114300" distR="114300">
                  <wp:extent cx="494665" cy="187960"/>
                  <wp:effectExtent l="0" t="0" r="635" b="1905"/>
                  <wp:docPr id="1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0"/>
                          <pic:cNvPicPr>
                            <a:picLocks noChangeAspect="1"/>
                          </pic:cNvPicPr>
                        </pic:nvPicPr>
                        <pic:blipFill>
                          <a:blip r:embed="rId10"/>
                          <a:stretch>
                            <a:fillRect/>
                          </a:stretch>
                        </pic:blipFill>
                        <pic:spPr>
                          <a:xfrm>
                            <a:off x="0" y="0"/>
                            <a:ext cx="494665" cy="187960"/>
                          </a:xfrm>
                          <a:prstGeom prst="rect">
                            <a:avLst/>
                          </a:prstGeom>
                          <a:noFill/>
                          <a:ln w="9525">
                            <a:noFill/>
                          </a:ln>
                        </pic:spPr>
                      </pic:pic>
                    </a:graphicData>
                  </a:graphic>
                </wp:inline>
              </w:drawing>
            </w:r>
            <w:r>
              <w:rPr>
                <w:rFonts w:hint="eastAsia" w:ascii="Calibri" w:hAnsi="Calibri" w:cs="Calibri"/>
              </w:rPr>
              <w:t>+</w:t>
            </w:r>
            <w:r>
              <w:rPr>
                <w:rFonts w:ascii="Calibri" w:hAnsi="Calibri" w:cs="Calibri"/>
                <w:lang w:val="sv-SE"/>
              </w:rPr>
              <w:t xml:space="preserve"> </w:t>
            </w:r>
            <w:r>
              <w:rPr>
                <w:rFonts w:hint="eastAsia" w:ascii="Calibri" w:hAnsi="Calibri" w:cs="Calibri"/>
              </w:rPr>
              <w:t>2*</w:t>
            </w:r>
            <w:r>
              <w:rPr>
                <w:rFonts w:ascii="Calibri" w:hAnsi="Calibri" w:cs="Calibri"/>
              </w:rPr>
              <w:t>6128</w:t>
            </w:r>
            <w:r>
              <w:rPr>
                <w:rFonts w:hint="eastAsia" w:ascii="Calibri" w:hAnsi="Calibri" w:cs="Calibri"/>
              </w:rPr>
              <w:t xml:space="preserve"> - 3277 + M*71168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5" w:type="dxa"/>
          </w:tcPr>
          <w:p>
            <w:pPr>
              <w:spacing w:before="120" w:after="120"/>
              <w:rPr>
                <w:rFonts w:ascii="Calibri" w:hAnsi="Calibri" w:cs="Calibri"/>
              </w:rPr>
            </w:pPr>
            <w:r>
              <w:rPr>
                <w:rFonts w:ascii="Calibri" w:hAnsi="Calibri" w:cs="Calibri"/>
              </w:rPr>
              <w:t>60</w:t>
            </w:r>
          </w:p>
        </w:tc>
        <w:tc>
          <w:tcPr>
            <w:tcW w:w="2279" w:type="dxa"/>
            <w:vAlign w:val="bottom"/>
          </w:tcPr>
          <w:p>
            <w:pPr>
              <w:spacing w:before="120" w:after="120"/>
              <w:rPr>
                <w:rFonts w:ascii="Calibri" w:hAnsi="Calibri" w:cs="Calibri" w:eastAsiaTheme="minorEastAsia"/>
              </w:rPr>
            </w:pPr>
            <w:r>
              <w:rPr>
                <w:rFonts w:hint="eastAsia" w:ascii="Calibri" w:hAnsi="Calibri" w:cs="Calibri"/>
              </w:rPr>
              <w:t>-</w:t>
            </w:r>
            <w:r>
              <w:rPr>
                <w:rFonts w:ascii="Calibri" w:hAnsi="Calibri" w:cs="Calibri"/>
                <w:b/>
                <w:position w:val="-10"/>
              </w:rPr>
              <w:drawing>
                <wp:inline distT="0" distB="0" distL="114300" distR="114300">
                  <wp:extent cx="494665" cy="187960"/>
                  <wp:effectExtent l="0" t="0" r="635" b="1905"/>
                  <wp:docPr id="1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3"/>
                          <pic:cNvPicPr>
                            <a:picLocks noChangeAspect="1"/>
                          </pic:cNvPicPr>
                        </pic:nvPicPr>
                        <pic:blipFill>
                          <a:blip r:embed="rId10"/>
                          <a:stretch>
                            <a:fillRect/>
                          </a:stretch>
                        </pic:blipFill>
                        <pic:spPr>
                          <a:xfrm>
                            <a:off x="0" y="0"/>
                            <a:ext cx="494665" cy="187960"/>
                          </a:xfrm>
                          <a:prstGeom prst="rect">
                            <a:avLst/>
                          </a:prstGeom>
                          <a:noFill/>
                          <a:ln w="9525">
                            <a:noFill/>
                          </a:ln>
                        </pic:spPr>
                      </pic:pic>
                    </a:graphicData>
                  </a:graphic>
                </wp:inline>
              </w:drawing>
            </w:r>
            <w:r>
              <w:rPr>
                <w:rFonts w:hint="eastAsia" w:ascii="Calibri" w:hAnsi="Calibri" w:cs="Calibri"/>
              </w:rPr>
              <w:t>-</w:t>
            </w:r>
            <w:r>
              <w:rPr>
                <w:rFonts w:ascii="Calibri" w:hAnsi="Calibri" w:cs="Calibri"/>
              </w:rPr>
              <w:t xml:space="preserve"> </w:t>
            </w:r>
            <w:r>
              <w:rPr>
                <w:rFonts w:hint="eastAsia" w:ascii="Calibri" w:hAnsi="Calibri" w:cs="Calibri"/>
              </w:rPr>
              <w:t>2*</w:t>
            </w:r>
            <w:r>
              <w:rPr>
                <w:rFonts w:ascii="Calibri" w:hAnsi="Calibri" w:cs="Calibri"/>
              </w:rPr>
              <w:t>17664</w:t>
            </w:r>
            <w:r>
              <w:rPr>
                <w:rFonts w:hint="eastAsia" w:ascii="Calibri" w:hAnsi="Calibri" w:cs="Calibri"/>
              </w:rPr>
              <w:t xml:space="preserve"> - 3277 + M*36096</w:t>
            </w:r>
          </w:p>
        </w:tc>
        <w:tc>
          <w:tcPr>
            <w:tcW w:w="2036" w:type="dxa"/>
          </w:tcPr>
          <w:p>
            <w:pPr>
              <w:spacing w:before="120" w:after="120"/>
              <w:rPr>
                <w:rFonts w:ascii="Calibri" w:hAnsi="Calibri" w:cs="Calibri" w:eastAsiaTheme="minorEastAsia"/>
              </w:rPr>
            </w:pPr>
            <w:r>
              <w:rPr>
                <w:rFonts w:hint="eastAsia" w:ascii="Calibri" w:hAnsi="Calibri" w:cs="Calibri"/>
              </w:rPr>
              <w:t>-</w:t>
            </w:r>
            <w:r>
              <w:rPr>
                <w:rFonts w:ascii="Calibri" w:hAnsi="Calibri" w:cs="Calibri"/>
                <w:b/>
                <w:position w:val="-10"/>
              </w:rPr>
              <w:drawing>
                <wp:inline distT="0" distB="0" distL="114300" distR="114300">
                  <wp:extent cx="494665" cy="187960"/>
                  <wp:effectExtent l="0" t="0" r="635" b="1905"/>
                  <wp:docPr id="1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2"/>
                          <pic:cNvPicPr>
                            <a:picLocks noChangeAspect="1"/>
                          </pic:cNvPicPr>
                        </pic:nvPicPr>
                        <pic:blipFill>
                          <a:blip r:embed="rId10"/>
                          <a:stretch>
                            <a:fillRect/>
                          </a:stretch>
                        </pic:blipFill>
                        <pic:spPr>
                          <a:xfrm>
                            <a:off x="0" y="0"/>
                            <a:ext cx="494665" cy="187960"/>
                          </a:xfrm>
                          <a:prstGeom prst="rect">
                            <a:avLst/>
                          </a:prstGeom>
                          <a:noFill/>
                          <a:ln w="9525">
                            <a:noFill/>
                          </a:ln>
                        </pic:spPr>
                      </pic:pic>
                    </a:graphicData>
                  </a:graphic>
                </wp:inline>
              </w:drawing>
            </w:r>
            <w:r>
              <w:rPr>
                <w:rFonts w:hint="eastAsia" w:ascii="Calibri" w:hAnsi="Calibri" w:cs="Calibri"/>
              </w:rPr>
              <w:t>+</w:t>
            </w:r>
            <w:r>
              <w:rPr>
                <w:rFonts w:ascii="Calibri" w:hAnsi="Calibri" w:cs="Calibri"/>
                <w:lang w:val="sv-SE"/>
              </w:rPr>
              <w:t xml:space="preserve"> </w:t>
            </w:r>
            <w:r>
              <w:rPr>
                <w:rFonts w:hint="eastAsia" w:ascii="Calibri" w:hAnsi="Calibri" w:cs="Calibri"/>
              </w:rPr>
              <w:t>2*</w:t>
            </w:r>
            <w:r>
              <w:rPr>
                <w:rFonts w:ascii="Calibri" w:hAnsi="Calibri" w:cs="Calibri"/>
              </w:rPr>
              <w:t>6032</w:t>
            </w:r>
            <w:r>
              <w:rPr>
                <w:rFonts w:hint="eastAsia" w:ascii="Calibri" w:hAnsi="Calibri" w:cs="Calibri"/>
              </w:rPr>
              <w:t xml:space="preserve"> - 3277 + M*36096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5" w:type="dxa"/>
          </w:tcPr>
          <w:p>
            <w:pPr>
              <w:spacing w:before="120" w:after="120"/>
              <w:rPr>
                <w:rFonts w:ascii="Calibri" w:hAnsi="Calibri" w:cs="Calibri"/>
              </w:rPr>
            </w:pPr>
            <w:r>
              <w:rPr>
                <w:rFonts w:ascii="Calibri" w:hAnsi="Calibri" w:cs="Calibri"/>
              </w:rPr>
              <w:t>120</w:t>
            </w:r>
          </w:p>
        </w:tc>
        <w:tc>
          <w:tcPr>
            <w:tcW w:w="2279" w:type="dxa"/>
            <w:vAlign w:val="bottom"/>
          </w:tcPr>
          <w:p>
            <w:pPr>
              <w:spacing w:before="120" w:after="120"/>
              <w:rPr>
                <w:rFonts w:ascii="Calibri" w:hAnsi="Calibri" w:cs="Calibri" w:eastAsiaTheme="minorEastAsia"/>
              </w:rPr>
            </w:pPr>
            <w:r>
              <w:rPr>
                <w:rFonts w:hint="eastAsia" w:ascii="Calibri" w:hAnsi="Calibri" w:cs="Calibri"/>
              </w:rPr>
              <w:t>-</w:t>
            </w:r>
            <w:r>
              <w:rPr>
                <w:rFonts w:ascii="Calibri" w:hAnsi="Calibri" w:cs="Calibri"/>
                <w:b/>
                <w:position w:val="-10"/>
              </w:rPr>
              <w:drawing>
                <wp:inline distT="0" distB="0" distL="114300" distR="114300">
                  <wp:extent cx="494665" cy="187960"/>
                  <wp:effectExtent l="0" t="0" r="635" b="1905"/>
                  <wp:docPr id="1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5"/>
                          <pic:cNvPicPr>
                            <a:picLocks noChangeAspect="1"/>
                          </pic:cNvPicPr>
                        </pic:nvPicPr>
                        <pic:blipFill>
                          <a:blip r:embed="rId10"/>
                          <a:stretch>
                            <a:fillRect/>
                          </a:stretch>
                        </pic:blipFill>
                        <pic:spPr>
                          <a:xfrm>
                            <a:off x="0" y="0"/>
                            <a:ext cx="494665" cy="187960"/>
                          </a:xfrm>
                          <a:prstGeom prst="rect">
                            <a:avLst/>
                          </a:prstGeom>
                          <a:noFill/>
                          <a:ln w="9525">
                            <a:noFill/>
                          </a:ln>
                        </pic:spPr>
                      </pic:pic>
                    </a:graphicData>
                  </a:graphic>
                </wp:inline>
              </w:drawing>
            </w:r>
            <w:r>
              <w:rPr>
                <w:rFonts w:hint="eastAsia" w:ascii="Calibri" w:hAnsi="Calibri" w:cs="Calibri"/>
              </w:rPr>
              <w:t>-</w:t>
            </w:r>
            <w:r>
              <w:rPr>
                <w:rFonts w:ascii="Calibri" w:hAnsi="Calibri" w:cs="Calibri"/>
              </w:rPr>
              <w:t xml:space="preserve"> </w:t>
            </w:r>
            <w:r>
              <w:rPr>
                <w:rFonts w:hint="eastAsia" w:ascii="Calibri" w:hAnsi="Calibri" w:cs="Calibri"/>
              </w:rPr>
              <w:t>2*</w:t>
            </w:r>
            <w:r>
              <w:rPr>
                <w:rFonts w:ascii="Calibri" w:hAnsi="Calibri" w:cs="Calibri"/>
              </w:rPr>
              <w:t>8816</w:t>
            </w:r>
            <w:r>
              <w:rPr>
                <w:rFonts w:hint="eastAsia" w:ascii="Calibri" w:hAnsi="Calibri" w:cs="Calibri"/>
              </w:rPr>
              <w:t xml:space="preserve"> - 3277 + M*18560</w:t>
            </w:r>
          </w:p>
        </w:tc>
        <w:tc>
          <w:tcPr>
            <w:tcW w:w="2036" w:type="dxa"/>
          </w:tcPr>
          <w:p>
            <w:pPr>
              <w:spacing w:before="120" w:after="120"/>
              <w:rPr>
                <w:rFonts w:ascii="Calibri" w:hAnsi="Calibri" w:cs="Calibri" w:eastAsiaTheme="minorEastAsia"/>
              </w:rPr>
            </w:pPr>
            <w:r>
              <w:rPr>
                <w:rFonts w:hint="eastAsia" w:ascii="Calibri" w:hAnsi="Calibri" w:cs="Calibri"/>
              </w:rPr>
              <w:t>-</w:t>
            </w:r>
            <w:r>
              <w:rPr>
                <w:rFonts w:ascii="Calibri" w:hAnsi="Calibri" w:cs="Calibri"/>
                <w:b/>
                <w:position w:val="-10"/>
              </w:rPr>
              <w:drawing>
                <wp:inline distT="0" distB="0" distL="114300" distR="114300">
                  <wp:extent cx="494665" cy="187960"/>
                  <wp:effectExtent l="0" t="0" r="635" b="1905"/>
                  <wp:docPr id="1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4"/>
                          <pic:cNvPicPr>
                            <a:picLocks noChangeAspect="1"/>
                          </pic:cNvPicPr>
                        </pic:nvPicPr>
                        <pic:blipFill>
                          <a:blip r:embed="rId10"/>
                          <a:stretch>
                            <a:fillRect/>
                          </a:stretch>
                        </pic:blipFill>
                        <pic:spPr>
                          <a:xfrm>
                            <a:off x="0" y="0"/>
                            <a:ext cx="494665" cy="187960"/>
                          </a:xfrm>
                          <a:prstGeom prst="rect">
                            <a:avLst/>
                          </a:prstGeom>
                          <a:noFill/>
                          <a:ln w="9525">
                            <a:noFill/>
                          </a:ln>
                        </pic:spPr>
                      </pic:pic>
                    </a:graphicData>
                  </a:graphic>
                </wp:inline>
              </w:drawing>
            </w:r>
            <w:r>
              <w:rPr>
                <w:rFonts w:hint="eastAsia" w:ascii="Calibri" w:hAnsi="Calibri" w:cs="Calibri"/>
              </w:rPr>
              <w:t>+ 2*</w:t>
            </w:r>
            <w:r>
              <w:rPr>
                <w:rFonts w:ascii="Calibri" w:hAnsi="Calibri" w:cs="Calibri"/>
              </w:rPr>
              <w:t>6032</w:t>
            </w:r>
            <w:r>
              <w:rPr>
                <w:rFonts w:hint="eastAsia" w:ascii="Calibri" w:hAnsi="Calibri" w:cs="Calibri"/>
              </w:rPr>
              <w:t xml:space="preserve"> - 3277 + M*18560</w:t>
            </w:r>
          </w:p>
        </w:tc>
      </w:tr>
    </w:tbl>
    <w:p>
      <w:pPr>
        <w:spacing w:before="120" w:after="120"/>
        <w:rPr>
          <w:sz w:val="20"/>
        </w:rPr>
      </w:pPr>
      <w:r>
        <w:rPr>
          <w:rFonts w:hint="eastAsia"/>
          <w:sz w:val="20"/>
        </w:rPr>
        <w:t xml:space="preserve">For the granularity of the offset, two alternatives could be considered, the same as granularity of TA or granularity of </w:t>
      </w:r>
      <w:r>
        <w:rPr>
          <w:rFonts w:hint="eastAsia"/>
          <w:i/>
          <w:iCs/>
          <w:sz w:val="20"/>
        </w:rPr>
        <w:t xml:space="preserve">Tdelta. </w:t>
      </w:r>
      <w:r>
        <w:rPr>
          <w:rFonts w:hint="eastAsia"/>
          <w:sz w:val="20"/>
        </w:rPr>
        <w:t xml:space="preserve">We prefer a simple and direct way is its granularity and the granularity of </w:t>
      </w:r>
      <w:r>
        <w:rPr>
          <w:rFonts w:hint="eastAsia"/>
          <w:i/>
          <w:iCs/>
          <w:sz w:val="20"/>
        </w:rPr>
        <w:t>Tdelta</w:t>
      </w:r>
      <w:r>
        <w:rPr>
          <w:rFonts w:hint="eastAsia"/>
          <w:sz w:val="20"/>
        </w:rPr>
        <w:t xml:space="preserve"> is consistent, i.e., the granularity for FR1 is 64 Tc, FR2 is 32 Tc.</w:t>
      </w:r>
    </w:p>
    <w:p>
      <w:pPr>
        <w:spacing w:before="120" w:after="120"/>
        <w:rPr>
          <w:sz w:val="20"/>
        </w:rPr>
      </w:pPr>
      <w:r>
        <w:rPr>
          <w:rFonts w:hint="eastAsia"/>
          <w:sz w:val="20"/>
        </w:rPr>
        <w:t xml:space="preserve">For the signaling for the offset, similar with TA mechanism and Tdelta mechanism with MAC-CE to inform the index of the offset. Specifically, the signaling overhead of the offset can be calculated according to the range of the offset, e.g., 12 bits, then, the mapping from index to value is completed in RAN1. We tend to reuse Tdelta mapping mechanism, e.g., </w:t>
      </w:r>
      <w:r>
        <w:rPr>
          <w:rFonts w:hint="eastAsia"/>
          <w:i/>
          <w:iCs/>
          <w:sz w:val="20"/>
        </w:rPr>
        <w:t>Toffset=Boffset+Ioffset*Goffset</w:t>
      </w:r>
      <w:r>
        <w:rPr>
          <w:rFonts w:hint="eastAsia"/>
          <w:sz w:val="20"/>
        </w:rPr>
        <w:t xml:space="preserve">, where, </w:t>
      </w:r>
      <w:r>
        <w:rPr>
          <w:rFonts w:hint="eastAsia"/>
          <w:i/>
          <w:iCs/>
          <w:sz w:val="20"/>
        </w:rPr>
        <w:t>Boffset</w:t>
      </w:r>
      <w:r>
        <w:rPr>
          <w:rFonts w:hint="eastAsia"/>
          <w:sz w:val="20"/>
        </w:rPr>
        <w:t xml:space="preserve"> represents benchmark of the offset, </w:t>
      </w:r>
      <w:r>
        <w:rPr>
          <w:rFonts w:hint="eastAsia"/>
          <w:i/>
          <w:iCs/>
          <w:sz w:val="20"/>
        </w:rPr>
        <w:t>Ioffset</w:t>
      </w:r>
      <w:r>
        <w:rPr>
          <w:rFonts w:hint="eastAsia"/>
          <w:sz w:val="20"/>
        </w:rPr>
        <w:t xml:space="preserve"> represents index of the offset, </w:t>
      </w:r>
      <w:r>
        <w:rPr>
          <w:rFonts w:hint="eastAsia"/>
          <w:i/>
          <w:iCs/>
          <w:sz w:val="20"/>
        </w:rPr>
        <w:t>Goffset</w:t>
      </w:r>
      <w:r>
        <w:rPr>
          <w:rFonts w:hint="eastAsia"/>
          <w:sz w:val="20"/>
        </w:rPr>
        <w:t xml:space="preserve"> represents granularity of the offset.</w:t>
      </w:r>
    </w:p>
    <w:p>
      <w:pPr>
        <w:pStyle w:val="29"/>
        <w:widowControl w:val="0"/>
        <w:spacing w:before="120" w:after="120"/>
        <w:rPr>
          <w:b w:val="0"/>
          <w:bCs w:val="0"/>
          <w:i w:val="0"/>
          <w:iCs w:val="0"/>
          <w:lang w:val="en-US" w:eastAsia="zh-CN"/>
        </w:rPr>
      </w:pPr>
      <w:bookmarkStart w:id="4" w:name="_Toc83923232"/>
      <w:bookmarkStart w:id="5" w:name="_Toc14729"/>
      <w:r>
        <w:rPr>
          <w:rFonts w:hint="eastAsia" w:cs="Times"/>
          <w:lang w:val="en-US" w:eastAsia="zh-CN"/>
        </w:rPr>
        <w:t>For the granularity, signaling and index mapping of the offset, the legacy Tdelta mechanism can be reused. About specific values, RAN4 can further participate in the evaluation.</w:t>
      </w:r>
      <w:bookmarkEnd w:id="4"/>
      <w:bookmarkEnd w:id="5"/>
    </w:p>
    <w:p>
      <w:pPr>
        <w:widowControl w:val="0"/>
        <w:spacing w:before="120" w:after="120"/>
        <w:rPr>
          <w:b/>
          <w:i/>
          <w:sz w:val="20"/>
          <w:u w:val="single"/>
        </w:rPr>
      </w:pPr>
      <w:r>
        <w:rPr>
          <w:rFonts w:hint="eastAsia"/>
          <w:b/>
          <w:i/>
          <w:sz w:val="20"/>
          <w:u w:val="single"/>
        </w:rPr>
        <w:t>Indication on case-7 timing at the IAB-node</w:t>
      </w:r>
    </w:p>
    <w:p>
      <w:pPr>
        <w:spacing w:before="120" w:after="120"/>
        <w:rPr>
          <w:sz w:val="20"/>
        </w:rPr>
      </w:pPr>
      <w:r>
        <w:rPr>
          <w:rFonts w:hint="eastAsia"/>
          <w:iCs/>
          <w:sz w:val="20"/>
        </w:rPr>
        <w:t xml:space="preserve">Regarding the FFS whether an IAB-node is also indicated by parent node when case-7 timing is performed at the IAB-node. </w:t>
      </w:r>
      <w:r>
        <w:rPr>
          <w:rFonts w:hint="eastAsia"/>
          <w:sz w:val="20"/>
        </w:rPr>
        <w:t xml:space="preserve">We think that timing mode is one of the preconditions for simultaneous multiplexing operation, and it is also good for parent node to know the accurate behavior of IAB-node. There some advantages as below if the parent node can control the timing mode switching at the IAB-node, and the specific switching event can be left to the parent node implementation: </w:t>
      </w:r>
    </w:p>
    <w:p>
      <w:pPr>
        <w:spacing w:before="120" w:after="120"/>
        <w:rPr>
          <w:iCs/>
          <w:sz w:val="20"/>
        </w:rPr>
      </w:pPr>
      <w:r>
        <w:rPr>
          <w:rFonts w:hint="eastAsia"/>
          <w:sz w:val="20"/>
        </w:rPr>
        <w:t>If the IAB-node working with case-7 is under control by parent node,</w:t>
      </w:r>
      <w:r>
        <w:rPr>
          <w:rFonts w:hint="eastAsia"/>
          <w:iCs/>
          <w:sz w:val="20"/>
        </w:rPr>
        <w:t xml:space="preserve"> it is convenient to power assignment by parent node to meet the prerequisite of case-7 timing that is the received power balance on the IAB-node side. For example, if the parent node indicates the usage of case-7 timing at the IAB-node, it also implies that the parent node would meet the desired downlink transmission power for case 7 timing. </w:t>
      </w:r>
    </w:p>
    <w:p>
      <w:pPr>
        <w:spacing w:before="120" w:after="120"/>
        <w:rPr>
          <w:iCs/>
          <w:sz w:val="20"/>
        </w:rPr>
      </w:pPr>
      <w:r>
        <w:rPr>
          <w:rFonts w:hint="eastAsia"/>
          <w:iCs/>
          <w:sz w:val="20"/>
        </w:rPr>
        <w:t xml:space="preserve">Another example which shows same benefits is that in order to better manage the CLI problems caused by case-7 timing and distinguish the simultaneous Rx of case-1 timing or case-7 timing, the parent node needs to indicate the timing mode of IAB-node. In addition, when different timing modes are switched, the enhanced requirements of guard symbols MAC-CE have been agreed, which requires the parent node to dominate the operation of timing mode so that the timing mode can match the provided guard symbols. Otherwise, the parent node does not know what kind of guard symbols to use. </w:t>
      </w:r>
    </w:p>
    <w:p>
      <w:pPr>
        <w:spacing w:before="120" w:after="120"/>
        <w:rPr>
          <w:iCs/>
          <w:sz w:val="20"/>
        </w:rPr>
      </w:pPr>
      <w:r>
        <w:rPr>
          <w:rFonts w:hint="eastAsia"/>
          <w:iCs/>
          <w:sz w:val="20"/>
        </w:rPr>
        <w:t>As discussed above, case-7 timing cannot be simply left to IAB-node's implementation, instead, the indication or switching of timing modes needs to be dominated by parent node.</w:t>
      </w:r>
    </w:p>
    <w:p>
      <w:pPr>
        <w:pStyle w:val="29"/>
        <w:widowControl w:val="0"/>
        <w:spacing w:before="120" w:after="120"/>
        <w:rPr>
          <w:rFonts w:cs="Times"/>
          <w:lang w:val="en-US" w:eastAsia="zh-CN"/>
        </w:rPr>
      </w:pPr>
      <w:bookmarkStart w:id="6" w:name="_Toc83923233"/>
      <w:bookmarkStart w:id="7" w:name="_Toc26220"/>
      <w:r>
        <w:rPr>
          <w:rFonts w:hint="eastAsia" w:cs="Times"/>
          <w:lang w:val="en-US" w:eastAsia="zh-CN"/>
        </w:rPr>
        <w:t>An IAB-node is indicated by the parent node when case-7 timing should be performed at the IAB-node.</w:t>
      </w:r>
      <w:bookmarkEnd w:id="6"/>
      <w:bookmarkEnd w:id="7"/>
    </w:p>
    <w:p>
      <w:pPr>
        <w:pStyle w:val="4"/>
        <w:widowControl w:val="0"/>
        <w:spacing w:before="120" w:after="120"/>
        <w:ind w:right="210"/>
        <w:rPr>
          <w:rFonts w:ascii="Arial" w:hAnsi="Arial" w:cs="Arial"/>
          <w:szCs w:val="22"/>
        </w:rPr>
      </w:pPr>
      <w:r>
        <w:rPr>
          <w:rFonts w:hint="eastAsia" w:ascii="Arial" w:hAnsi="Arial" w:cs="Arial"/>
        </w:rPr>
        <w:t>2.2 Power control/sharing</w:t>
      </w:r>
      <w:r>
        <w:rPr>
          <w:rFonts w:ascii="Arial" w:hAnsi="Arial" w:cs="Arial"/>
        </w:rPr>
        <w:t xml:space="preserve"> for simultaneous </w:t>
      </w:r>
      <w:r>
        <w:rPr>
          <w:rFonts w:ascii="Arial" w:hAnsi="Arial" w:cs="Arial"/>
          <w:szCs w:val="22"/>
        </w:rPr>
        <w:t>operation</w:t>
      </w:r>
    </w:p>
    <w:p>
      <w:pPr>
        <w:widowControl w:val="0"/>
        <w:spacing w:before="120" w:after="120"/>
        <w:rPr>
          <w:sz w:val="20"/>
        </w:rPr>
      </w:pPr>
      <w:r>
        <w:rPr>
          <w:rFonts w:hint="eastAsia"/>
          <w:sz w:val="20"/>
        </w:rPr>
        <w:t>RAN1#106-e provided the following agreements</w:t>
      </w:r>
      <w:r>
        <w:rPr>
          <w:sz w:val="20"/>
        </w:rPr>
        <w:t xml:space="preserve"> </w:t>
      </w:r>
      <w:r>
        <w:rPr>
          <w:rFonts w:hint="eastAsia"/>
          <w:sz w:val="20"/>
        </w:rPr>
        <w:t>on power control/sharing for simultaneous operation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9876" w:type="dxa"/>
          </w:tcPr>
          <w:p>
            <w:pPr>
              <w:widowControl w:val="0"/>
              <w:spacing w:before="120" w:after="120"/>
              <w:rPr>
                <w:rFonts w:cs="Times"/>
                <w:b/>
                <w:bCs/>
                <w:sz w:val="20"/>
                <w:highlight w:val="green"/>
              </w:rPr>
            </w:pPr>
            <w:r>
              <w:rPr>
                <w:rFonts w:cs="Times"/>
                <w:b/>
                <w:bCs/>
                <w:sz w:val="20"/>
                <w:highlight w:val="green"/>
              </w:rPr>
              <w:t>Agreement</w:t>
            </w:r>
          </w:p>
          <w:p>
            <w:pPr>
              <w:widowControl w:val="0"/>
              <w:spacing w:before="120" w:after="120"/>
              <w:rPr>
                <w:rFonts w:cs="Times"/>
                <w:sz w:val="20"/>
                <w:lang w:eastAsia="ja-JP"/>
              </w:rPr>
            </w:pPr>
            <w:r>
              <w:rPr>
                <w:rFonts w:cs="Times"/>
                <w:sz w:val="20"/>
                <w:lang w:eastAsia="ja-JP"/>
              </w:rPr>
              <w:t>The desired DL TX power adjustment, indicated by the IAB-MT to its parent-node to assist with the parent-node’s DL TX power allocation, is provided at least for</w:t>
            </w:r>
            <w:r>
              <w:rPr>
                <w:rStyle w:val="57"/>
                <w:rFonts w:cs="Times"/>
                <w:sz w:val="20"/>
                <w:lang w:eastAsia="ja-JP"/>
              </w:rPr>
              <w:t> </w:t>
            </w:r>
            <w:r>
              <w:rPr>
                <w:rFonts w:cs="Times"/>
                <w:sz w:val="20"/>
                <w:lang w:eastAsia="ja-JP"/>
              </w:rPr>
              <w:t>specific time</w:t>
            </w:r>
            <w:r>
              <w:rPr>
                <w:rStyle w:val="57"/>
                <w:rFonts w:cs="Times"/>
                <w:sz w:val="20"/>
                <w:lang w:eastAsia="ja-JP"/>
              </w:rPr>
              <w:t> </w:t>
            </w:r>
            <w:r>
              <w:rPr>
                <w:rFonts w:cs="Times"/>
                <w:sz w:val="20"/>
                <w:lang w:eastAsia="ja-JP"/>
              </w:rPr>
              <w:t>resources.</w:t>
            </w:r>
            <w:r>
              <w:rPr>
                <w:rStyle w:val="57"/>
                <w:rFonts w:cs="Times"/>
                <w:sz w:val="20"/>
                <w:lang w:eastAsia="ja-JP"/>
              </w:rPr>
              <w:t> </w:t>
            </w:r>
          </w:p>
          <w:p>
            <w:pPr>
              <w:widowControl w:val="0"/>
              <w:spacing w:before="120" w:after="120"/>
              <w:rPr>
                <w:rFonts w:cs="Times"/>
                <w:sz w:val="20"/>
                <w:lang w:eastAsia="ja-JP"/>
              </w:rPr>
            </w:pPr>
            <w:r>
              <w:rPr>
                <w:rFonts w:cs="Times"/>
                <w:sz w:val="20"/>
                <w:lang w:eastAsia="ja-JP"/>
              </w:rPr>
              <w:t>The desired DL TX power adjustment can further be associated with spatial configuration. (e.g., MT’s DL RX beams).</w:t>
            </w:r>
          </w:p>
          <w:p>
            <w:pPr>
              <w:widowControl w:val="0"/>
              <w:numPr>
                <w:ilvl w:val="0"/>
                <w:numId w:val="11"/>
              </w:numPr>
              <w:spacing w:before="120" w:after="120"/>
              <w:rPr>
                <w:rFonts w:cs="Times"/>
                <w:sz w:val="20"/>
                <w:lang w:eastAsia="ja-JP"/>
              </w:rPr>
            </w:pPr>
            <w:r>
              <w:rPr>
                <w:rFonts w:cs="Times"/>
                <w:sz w:val="20"/>
                <w:lang w:eastAsia="ja-JP"/>
              </w:rPr>
              <w:t>FFS: signalling details, e.g. indication via MAC-CE, PUCCH, or legacy CSI framework.</w:t>
            </w:r>
          </w:p>
          <w:p>
            <w:pPr>
              <w:widowControl w:val="0"/>
              <w:spacing w:before="120" w:after="120"/>
              <w:rPr>
                <w:rFonts w:cs="Times"/>
                <w:sz w:val="20"/>
                <w:lang w:eastAsia="ko-KR"/>
              </w:rPr>
            </w:pPr>
          </w:p>
          <w:p>
            <w:pPr>
              <w:widowControl w:val="0"/>
              <w:spacing w:before="120" w:after="120"/>
              <w:rPr>
                <w:rFonts w:cs="Times"/>
                <w:b/>
                <w:bCs/>
                <w:sz w:val="20"/>
                <w:highlight w:val="green"/>
              </w:rPr>
            </w:pPr>
            <w:r>
              <w:rPr>
                <w:rFonts w:cs="Times"/>
                <w:b/>
                <w:bCs/>
                <w:sz w:val="20"/>
                <w:highlight w:val="green"/>
              </w:rPr>
              <w:t>Agreement</w:t>
            </w:r>
          </w:p>
          <w:p>
            <w:pPr>
              <w:widowControl w:val="0"/>
              <w:spacing w:before="120" w:after="120"/>
              <w:rPr>
                <w:rFonts w:cs="Times"/>
                <w:sz w:val="20"/>
                <w:lang w:eastAsia="ja-JP"/>
              </w:rPr>
            </w:pPr>
            <w:r>
              <w:rPr>
                <w:rFonts w:cs="Times"/>
                <w:sz w:val="20"/>
                <w:lang w:eastAsia="ja-JP"/>
              </w:rPr>
              <w:t>Support an IAB-node indicating adjustment to its DL TX power to a child node (e.g., in response to receiving the DL TX power assistance information from the child node) at least for</w:t>
            </w:r>
            <w:r>
              <w:rPr>
                <w:rStyle w:val="57"/>
                <w:rFonts w:cs="Times"/>
                <w:sz w:val="20"/>
                <w:lang w:eastAsia="ja-JP"/>
              </w:rPr>
              <w:t> </w:t>
            </w:r>
            <w:r>
              <w:rPr>
                <w:rFonts w:cs="Times"/>
                <w:sz w:val="20"/>
                <w:lang w:eastAsia="ja-JP"/>
              </w:rPr>
              <w:t>specific time</w:t>
            </w:r>
            <w:r>
              <w:rPr>
                <w:rStyle w:val="57"/>
                <w:rFonts w:cs="Times"/>
                <w:sz w:val="20"/>
                <w:lang w:eastAsia="ja-JP"/>
              </w:rPr>
              <w:t> </w:t>
            </w:r>
            <w:r>
              <w:rPr>
                <w:rFonts w:cs="Times"/>
                <w:sz w:val="20"/>
                <w:lang w:eastAsia="ja-JP"/>
              </w:rPr>
              <w:t>resources.</w:t>
            </w:r>
          </w:p>
          <w:p>
            <w:pPr>
              <w:widowControl w:val="0"/>
              <w:spacing w:before="120" w:after="120"/>
              <w:rPr>
                <w:rFonts w:cs="Times"/>
                <w:sz w:val="20"/>
                <w:lang w:eastAsia="ja-JP"/>
              </w:rPr>
            </w:pPr>
            <w:r>
              <w:rPr>
                <w:rFonts w:cs="Times"/>
                <w:sz w:val="20"/>
                <w:lang w:eastAsia="ja-JP"/>
              </w:rPr>
              <w:t>The DL TX power adjustment indication can further be associated with spatial configuration. (e.g., MT’s DL RX beams).</w:t>
            </w:r>
          </w:p>
          <w:p>
            <w:pPr>
              <w:widowControl w:val="0"/>
              <w:numPr>
                <w:ilvl w:val="0"/>
                <w:numId w:val="11"/>
              </w:numPr>
              <w:spacing w:before="120" w:after="120"/>
              <w:rPr>
                <w:rFonts w:cs="Times"/>
                <w:sz w:val="20"/>
                <w:lang w:eastAsia="ja-JP"/>
              </w:rPr>
            </w:pPr>
            <w:r>
              <w:rPr>
                <w:rFonts w:cs="Times"/>
                <w:sz w:val="20"/>
                <w:lang w:eastAsia="ja-JP"/>
              </w:rPr>
              <w:t>FFS: signalling details.</w:t>
            </w:r>
          </w:p>
          <w:p>
            <w:pPr>
              <w:widowControl w:val="0"/>
              <w:spacing w:before="120" w:after="120"/>
              <w:rPr>
                <w:sz w:val="20"/>
              </w:rPr>
            </w:pPr>
          </w:p>
          <w:p>
            <w:pPr>
              <w:widowControl w:val="0"/>
              <w:spacing w:before="120" w:after="120"/>
              <w:rPr>
                <w:rFonts w:ascii="Calibri" w:hAnsi="Calibri" w:eastAsia="Malgun Gothic"/>
                <w:b/>
                <w:bCs/>
                <w:color w:val="000000"/>
                <w:sz w:val="20"/>
                <w:lang w:eastAsia="ko-KR"/>
              </w:rPr>
            </w:pPr>
            <w:r>
              <w:rPr>
                <w:b/>
                <w:bCs/>
                <w:color w:val="000000"/>
                <w:sz w:val="20"/>
                <w:highlight w:val="green"/>
              </w:rPr>
              <w:t>Agreement</w:t>
            </w:r>
          </w:p>
          <w:p>
            <w:pPr>
              <w:widowControl w:val="0"/>
              <w:spacing w:before="120" w:after="120"/>
              <w:rPr>
                <w:bCs/>
                <w:color w:val="000000"/>
                <w:sz w:val="20"/>
              </w:rPr>
            </w:pPr>
            <w:r>
              <w:rPr>
                <w:bCs/>
                <w:color w:val="000000"/>
                <w:sz w:val="20"/>
              </w:rPr>
              <w:t>Support an IAB-node indicating its desired IAB-MT PSD range to help with its MT’s UL TX power control.</w:t>
            </w:r>
          </w:p>
          <w:p>
            <w:pPr>
              <w:pStyle w:val="34"/>
              <w:widowControl w:val="0"/>
              <w:numPr>
                <w:ilvl w:val="0"/>
                <w:numId w:val="11"/>
              </w:numPr>
              <w:spacing w:after="120"/>
              <w:rPr>
                <w:bCs/>
                <w:color w:val="595959"/>
                <w:sz w:val="20"/>
                <w:szCs w:val="20"/>
              </w:rPr>
            </w:pPr>
            <w:r>
              <w:rPr>
                <w:bCs/>
                <w:sz w:val="20"/>
                <w:szCs w:val="20"/>
              </w:rPr>
              <w:t>This information is provided to the parent node</w:t>
            </w:r>
          </w:p>
          <w:p>
            <w:pPr>
              <w:widowControl w:val="0"/>
              <w:spacing w:before="120" w:after="120"/>
              <w:rPr>
                <w:bCs/>
                <w:color w:val="000000"/>
                <w:sz w:val="20"/>
              </w:rPr>
            </w:pPr>
            <w:r>
              <w:rPr>
                <w:bCs/>
                <w:color w:val="000000"/>
                <w:sz w:val="20"/>
              </w:rPr>
              <w:t>FFS: Applicability of assistance information, e.g., per multiplexing scenario, per resource, etc.</w:t>
            </w:r>
          </w:p>
          <w:p>
            <w:pPr>
              <w:widowControl w:val="0"/>
              <w:spacing w:before="120" w:after="120"/>
              <w:rPr>
                <w:bCs/>
                <w:color w:val="000000"/>
                <w:sz w:val="20"/>
              </w:rPr>
            </w:pPr>
            <w:r>
              <w:rPr>
                <w:bCs/>
                <w:color w:val="000000"/>
                <w:sz w:val="20"/>
              </w:rPr>
              <w:t>FFS: Signalling details, including the possibility to extend PHR.</w:t>
            </w:r>
          </w:p>
          <w:p>
            <w:pPr>
              <w:widowControl/>
              <w:spacing w:before="120" w:after="120"/>
              <w:rPr>
                <w:bCs/>
                <w:color w:val="000000"/>
                <w:sz w:val="20"/>
              </w:rPr>
            </w:pPr>
          </w:p>
        </w:tc>
      </w:tr>
    </w:tbl>
    <w:p>
      <w:pPr>
        <w:widowControl w:val="0"/>
        <w:spacing w:before="120" w:after="120"/>
        <w:rPr>
          <w:sz w:val="20"/>
        </w:rPr>
      </w:pPr>
      <w:r>
        <w:rPr>
          <w:rFonts w:hint="eastAsia"/>
          <w:sz w:val="20"/>
        </w:rPr>
        <w:t>Great progress has been made in UL power control and DL power allocation in IAB network as shown in the above agreements, but there are still some FFS points to be solved</w:t>
      </w:r>
      <w:r>
        <w:rPr>
          <w:rFonts w:cs="Times"/>
          <w:sz w:val="20"/>
        </w:rPr>
        <w:t xml:space="preserve">, </w:t>
      </w:r>
      <w:r>
        <w:rPr>
          <w:rFonts w:hint="eastAsia" w:cs="Times"/>
          <w:sz w:val="20"/>
        </w:rPr>
        <w:t>such as,</w:t>
      </w:r>
      <w:r>
        <w:rPr>
          <w:rFonts w:cs="Times"/>
          <w:sz w:val="20"/>
        </w:rPr>
        <w:t xml:space="preserve"> </w:t>
      </w:r>
      <w:r>
        <w:rPr>
          <w:rFonts w:hint="eastAsia" w:cs="Times"/>
          <w:sz w:val="20"/>
        </w:rPr>
        <w:t>signaling details</w:t>
      </w:r>
      <w:r>
        <w:rPr>
          <w:rFonts w:cs="Times"/>
          <w:sz w:val="20"/>
        </w:rPr>
        <w:t xml:space="preserve">, </w:t>
      </w:r>
      <w:r>
        <w:rPr>
          <w:rFonts w:hint="eastAsia" w:cs="Times"/>
          <w:sz w:val="20"/>
        </w:rPr>
        <w:t>a</w:t>
      </w:r>
      <w:r>
        <w:rPr>
          <w:bCs/>
          <w:color w:val="000000"/>
          <w:sz w:val="20"/>
        </w:rPr>
        <w:t>pplicability of UL TX power control</w:t>
      </w:r>
      <w:r>
        <w:rPr>
          <w:rFonts w:hint="eastAsia"/>
          <w:bCs/>
          <w:color w:val="000000"/>
          <w:sz w:val="20"/>
        </w:rPr>
        <w:t xml:space="preserve"> </w:t>
      </w:r>
      <w:r>
        <w:rPr>
          <w:bCs/>
          <w:color w:val="000000"/>
          <w:sz w:val="20"/>
        </w:rPr>
        <w:t>assistance information</w:t>
      </w:r>
      <w:r>
        <w:rPr>
          <w:rFonts w:hint="eastAsia"/>
          <w:bCs/>
          <w:color w:val="000000"/>
          <w:sz w:val="20"/>
        </w:rPr>
        <w:t xml:space="preserve"> per </w:t>
      </w:r>
      <w:r>
        <w:rPr>
          <w:bCs/>
          <w:color w:val="000000"/>
          <w:sz w:val="20"/>
        </w:rPr>
        <w:t>multiplexing scenario</w:t>
      </w:r>
      <w:r>
        <w:rPr>
          <w:rFonts w:hint="eastAsia"/>
          <w:bCs/>
          <w:color w:val="000000"/>
          <w:sz w:val="20"/>
        </w:rPr>
        <w:t>/</w:t>
      </w:r>
      <w:r>
        <w:rPr>
          <w:bCs/>
          <w:color w:val="000000"/>
          <w:sz w:val="20"/>
        </w:rPr>
        <w:t>per resource</w:t>
      </w:r>
      <w:r>
        <w:rPr>
          <w:rFonts w:hint="eastAsia"/>
          <w:bCs/>
          <w:color w:val="000000"/>
          <w:sz w:val="20"/>
        </w:rPr>
        <w:t xml:space="preserve">, </w:t>
      </w:r>
      <w:r>
        <w:rPr>
          <w:bCs/>
          <w:color w:val="000000"/>
          <w:sz w:val="20"/>
        </w:rPr>
        <w:t>the possibility to extend PHR</w:t>
      </w:r>
      <w:r>
        <w:rPr>
          <w:rFonts w:hint="eastAsia"/>
          <w:bCs/>
          <w:color w:val="000000"/>
          <w:sz w:val="20"/>
        </w:rPr>
        <w:t xml:space="preserve">, </w:t>
      </w:r>
      <w:r>
        <w:rPr>
          <w:rFonts w:cs="Times"/>
          <w:sz w:val="20"/>
        </w:rPr>
        <w:t>etc</w:t>
      </w:r>
      <w:r>
        <w:rPr>
          <w:rFonts w:hint="eastAsia" w:cs="Times"/>
          <w:sz w:val="20"/>
        </w:rPr>
        <w:t>.</w:t>
      </w:r>
      <w:r>
        <w:rPr>
          <w:rFonts w:hint="eastAsia"/>
          <w:sz w:val="20"/>
        </w:rPr>
        <w:t>. This section provides some views on these aspects.</w:t>
      </w:r>
    </w:p>
    <w:p>
      <w:pPr>
        <w:widowControl w:val="0"/>
        <w:spacing w:before="120" w:after="120"/>
        <w:rPr>
          <w:b/>
          <w:i/>
          <w:sz w:val="20"/>
          <w:u w:val="single"/>
        </w:rPr>
      </w:pPr>
      <w:r>
        <w:rPr>
          <w:rFonts w:hint="eastAsia"/>
          <w:b/>
          <w:i/>
          <w:sz w:val="20"/>
          <w:u w:val="single"/>
        </w:rPr>
        <w:t>DL p</w:t>
      </w:r>
      <w:r>
        <w:rPr>
          <w:b/>
          <w:i/>
          <w:sz w:val="20"/>
          <w:u w:val="single"/>
        </w:rPr>
        <w:t xml:space="preserve">ower allocation </w:t>
      </w:r>
      <w:r>
        <w:rPr>
          <w:rFonts w:hint="eastAsia"/>
          <w:b/>
          <w:i/>
          <w:sz w:val="20"/>
          <w:u w:val="single"/>
        </w:rPr>
        <w:t>of parent node DU</w:t>
      </w:r>
    </w:p>
    <w:p>
      <w:pPr>
        <w:widowControl w:val="0"/>
        <w:spacing w:before="120" w:after="120"/>
        <w:rPr>
          <w:sz w:val="20"/>
        </w:rPr>
      </w:pPr>
      <w:r>
        <w:rPr>
          <w:rFonts w:hint="eastAsia"/>
          <w:sz w:val="20"/>
        </w:rPr>
        <w:t>It is agreed that the desired DL TX power adjustment is indicated by the IAB-MT to its parent node to assist with the parent node</w:t>
      </w:r>
      <w:r>
        <w:rPr>
          <w:sz w:val="20"/>
        </w:rPr>
        <w:t>’</w:t>
      </w:r>
      <w:r>
        <w:rPr>
          <w:rFonts w:hint="eastAsia"/>
          <w:sz w:val="20"/>
        </w:rPr>
        <w:t>s DL TX power allocation at least for specific time resources, and support a parent node indicating adjustment to its DL TX power (</w:t>
      </w:r>
      <w:r>
        <w:rPr>
          <w:rFonts w:hint="eastAsia" w:cs="Times"/>
          <w:sz w:val="20"/>
        </w:rPr>
        <w:t xml:space="preserve">i.e. </w:t>
      </w:r>
      <w:r>
        <w:rPr>
          <w:rFonts w:hint="eastAsia"/>
          <w:sz w:val="20"/>
        </w:rPr>
        <w:t xml:space="preserve">the provided </w:t>
      </w:r>
      <w:r>
        <w:rPr>
          <w:rFonts w:cs="Times"/>
          <w:sz w:val="20"/>
          <w:lang w:eastAsia="ja-JP"/>
        </w:rPr>
        <w:t>DL TX power adjustment</w:t>
      </w:r>
      <w:r>
        <w:rPr>
          <w:rFonts w:hint="eastAsia"/>
          <w:sz w:val="20"/>
        </w:rPr>
        <w:t xml:space="preserve">) to IAB-MT of its child node at least for specific time resources, and the desired </w:t>
      </w:r>
      <w:r>
        <w:rPr>
          <w:rFonts w:cs="Times"/>
          <w:sz w:val="20"/>
          <w:lang w:eastAsia="ja-JP"/>
        </w:rPr>
        <w:t>DL TX power adjustment</w:t>
      </w:r>
      <w:r>
        <w:rPr>
          <w:rFonts w:hint="eastAsia" w:cs="Times"/>
          <w:sz w:val="20"/>
        </w:rPr>
        <w:t xml:space="preserve"> and </w:t>
      </w:r>
      <w:r>
        <w:rPr>
          <w:rFonts w:hint="eastAsia"/>
          <w:sz w:val="20"/>
        </w:rPr>
        <w:t xml:space="preserve">the provided </w:t>
      </w:r>
      <w:r>
        <w:rPr>
          <w:rFonts w:cs="Times"/>
          <w:sz w:val="20"/>
          <w:lang w:eastAsia="ja-JP"/>
        </w:rPr>
        <w:t>DL TX power adjustment</w:t>
      </w:r>
      <w:r>
        <w:rPr>
          <w:rFonts w:hint="eastAsia" w:cs="Times"/>
          <w:sz w:val="20"/>
        </w:rPr>
        <w:t xml:space="preserve"> can further be associated with spatial configuration. (e.g., IAB-MT</w:t>
      </w:r>
      <w:r>
        <w:rPr>
          <w:rFonts w:cs="Times"/>
          <w:sz w:val="20"/>
        </w:rPr>
        <w:t>’</w:t>
      </w:r>
      <w:r>
        <w:rPr>
          <w:rFonts w:hint="eastAsia" w:cs="Times"/>
          <w:sz w:val="20"/>
        </w:rPr>
        <w:t>s DL RX beams)[1]</w:t>
      </w:r>
      <w:r>
        <w:rPr>
          <w:rFonts w:hint="eastAsia"/>
          <w:sz w:val="20"/>
        </w:rPr>
        <w:t xml:space="preserve">. </w:t>
      </w:r>
    </w:p>
    <w:p>
      <w:pPr>
        <w:widowControl w:val="0"/>
        <w:spacing w:before="120" w:after="120"/>
        <w:rPr>
          <w:sz w:val="20"/>
        </w:rPr>
      </w:pPr>
      <w:r>
        <w:rPr>
          <w:rFonts w:hint="eastAsia"/>
          <w:sz w:val="20"/>
        </w:rPr>
        <w:t xml:space="preserve">Regarding the desired DL TX power adjustment, it can be a power offset based on Tx power of one previous DL transmission in a specific time, or based on Tx power of DL RS(s). In </w:t>
      </w:r>
      <w:r>
        <w:rPr>
          <w:sz w:val="20"/>
        </w:rPr>
        <w:t>practice</w:t>
      </w:r>
      <w:r>
        <w:rPr>
          <w:rFonts w:hint="eastAsia"/>
          <w:sz w:val="20"/>
        </w:rPr>
        <w:t>,</w:t>
      </w:r>
      <w:r>
        <w:rPr>
          <w:sz w:val="20"/>
        </w:rPr>
        <w:t xml:space="preserve"> </w:t>
      </w:r>
      <w:r>
        <w:rPr>
          <w:rFonts w:hint="eastAsia"/>
          <w:sz w:val="20"/>
        </w:rPr>
        <w:t>IAB-DU can use different beams in different times and this would lead to different RX power and DL pathloss at its IAB node. Comparing the variation of DL power between bea</w:t>
      </w:r>
      <w:r>
        <w:rPr>
          <w:sz w:val="20"/>
        </w:rPr>
        <w:t>m</w:t>
      </w:r>
      <w:r>
        <w:rPr>
          <w:rFonts w:hint="eastAsia"/>
          <w:sz w:val="20"/>
        </w:rPr>
        <w:t>s</w:t>
      </w:r>
      <w:r>
        <w:rPr>
          <w:sz w:val="20"/>
        </w:rPr>
        <w:t xml:space="preserve"> </w:t>
      </w:r>
      <w:r>
        <w:rPr>
          <w:rFonts w:hint="eastAsia"/>
          <w:sz w:val="20"/>
        </w:rPr>
        <w:t>(e.g. DL RSs) with transmission occasions, a power offset related to Tx power of DL RS is better for the desired DL TX power adjustment. For the same reason, a power offset of the provided DL TX power from IAB to its child IAB should should be related to DL RS too. Therefore, we suggest the desired DL TX power adjustment and provided DL TX power indication should be a power offset related to Tx power of DL RS (e.g. CSI-RS).</w:t>
      </w:r>
    </w:p>
    <w:p>
      <w:pPr>
        <w:pStyle w:val="29"/>
        <w:widowControl w:val="0"/>
        <w:spacing w:before="120" w:after="120"/>
        <w:rPr>
          <w:lang w:val="en-US" w:eastAsia="zh-CN"/>
        </w:rPr>
      </w:pPr>
      <w:bookmarkStart w:id="8" w:name="_Toc18814"/>
      <w:bookmarkStart w:id="9" w:name="_Toc1634"/>
      <w:bookmarkStart w:id="10" w:name="_Toc83923234"/>
      <w:r>
        <w:rPr>
          <w:rFonts w:hint="eastAsia"/>
          <w:lang w:val="en-US" w:eastAsia="zh-CN"/>
        </w:rPr>
        <w:t>The desired DL TX power adjustment and provided DL TX power indication should be a power offset related to Tx power of DL RS (i.e. beam information).</w:t>
      </w:r>
      <w:bookmarkEnd w:id="8"/>
      <w:bookmarkEnd w:id="9"/>
      <w:bookmarkEnd w:id="10"/>
      <w:r>
        <w:rPr>
          <w:rFonts w:hint="eastAsia"/>
          <w:lang w:val="en-US" w:eastAsia="zh-CN"/>
        </w:rPr>
        <w:t xml:space="preserve"> </w:t>
      </w:r>
    </w:p>
    <w:p>
      <w:pPr>
        <w:widowControl w:val="0"/>
        <w:spacing w:before="120" w:after="120"/>
        <w:rPr>
          <w:sz w:val="20"/>
        </w:rPr>
      </w:pPr>
      <w:r>
        <w:rPr>
          <w:sz w:val="20"/>
        </w:rPr>
        <w:t xml:space="preserve">The </w:t>
      </w:r>
      <w:r>
        <w:rPr>
          <w:rFonts w:hint="eastAsia"/>
          <w:sz w:val="20"/>
        </w:rPr>
        <w:t xml:space="preserve">another issue </w:t>
      </w:r>
      <w:r>
        <w:rPr>
          <w:sz w:val="20"/>
        </w:rPr>
        <w:t xml:space="preserve">for </w:t>
      </w:r>
      <w:r>
        <w:rPr>
          <w:rFonts w:hint="eastAsia"/>
          <w:sz w:val="20"/>
        </w:rPr>
        <w:t xml:space="preserve">DL TX power control </w:t>
      </w:r>
      <w:r>
        <w:rPr>
          <w:sz w:val="20"/>
        </w:rPr>
        <w:t xml:space="preserve">is what kind of </w:t>
      </w:r>
      <w:r>
        <w:rPr>
          <w:rFonts w:hint="eastAsia"/>
          <w:sz w:val="20"/>
        </w:rPr>
        <w:t>signalling can be used</w:t>
      </w:r>
      <w:r>
        <w:rPr>
          <w:sz w:val="20"/>
        </w:rPr>
        <w:t xml:space="preserve"> to </w:t>
      </w:r>
      <w:r>
        <w:rPr>
          <w:rFonts w:hint="eastAsia"/>
          <w:sz w:val="20"/>
        </w:rPr>
        <w:t>indicate desired DL TX power adjustment and the provided DL TX power adjustment</w:t>
      </w:r>
      <w:r>
        <w:rPr>
          <w:sz w:val="20"/>
        </w:rPr>
        <w:t>.</w:t>
      </w:r>
    </w:p>
    <w:p>
      <w:pPr>
        <w:widowControl w:val="0"/>
        <w:spacing w:before="120" w:after="120"/>
        <w:rPr>
          <w:sz w:val="20"/>
        </w:rPr>
      </w:pPr>
      <w:r>
        <w:rPr>
          <w:rFonts w:hint="eastAsia"/>
          <w:sz w:val="20"/>
        </w:rPr>
        <w:t>For desired DL TX power adjustment,</w:t>
      </w:r>
      <w:r>
        <w:rPr>
          <w:sz w:val="20"/>
        </w:rPr>
        <w:t xml:space="preserve"> </w:t>
      </w:r>
      <w:r>
        <w:rPr>
          <w:rFonts w:hint="eastAsia"/>
          <w:sz w:val="20"/>
        </w:rPr>
        <w:t>when to indicate it to its parent node can be up to IAB</w:t>
      </w:r>
      <w:r>
        <w:rPr>
          <w:sz w:val="20"/>
        </w:rPr>
        <w:t>’</w:t>
      </w:r>
      <w:r>
        <w:rPr>
          <w:rFonts w:hint="eastAsia"/>
          <w:sz w:val="20"/>
        </w:rPr>
        <w:t xml:space="preserve">s implementation. Based on this, indication by MAC CE is a feasible and flexible way to report this kind of information. Therefore, we propose that IAB-MT indicates the desired DL TX power adjustment by MAC CE to parent node. </w:t>
      </w:r>
    </w:p>
    <w:p>
      <w:pPr>
        <w:widowControl w:val="0"/>
        <w:spacing w:before="120" w:after="120"/>
        <w:rPr>
          <w:sz w:val="20"/>
        </w:rPr>
      </w:pPr>
      <w:r>
        <w:rPr>
          <w:rFonts w:hint="eastAsia"/>
          <w:sz w:val="20"/>
        </w:rPr>
        <w:t>Similarly, parent node can indicate the provided DL TX power adjustment by MAC CE to the IAB-MT.</w:t>
      </w:r>
    </w:p>
    <w:p>
      <w:pPr>
        <w:pStyle w:val="29"/>
        <w:spacing w:before="120" w:after="120"/>
        <w:rPr>
          <w:rFonts w:cs="Times"/>
        </w:rPr>
      </w:pPr>
      <w:bookmarkStart w:id="11" w:name="_Toc83923235"/>
      <w:bookmarkStart w:id="12" w:name="_Toc3601"/>
      <w:bookmarkStart w:id="13" w:name="_Toc23594"/>
      <w:r>
        <w:rPr>
          <w:rFonts w:hint="eastAsia"/>
          <w:lang w:val="en-US" w:eastAsia="zh-CN"/>
        </w:rPr>
        <w:t>Both of the desired DL TX power adjustment and the provided DL TX power adjustment can be indicated by MAC CE.</w:t>
      </w:r>
      <w:bookmarkEnd w:id="11"/>
      <w:bookmarkEnd w:id="12"/>
      <w:bookmarkEnd w:id="13"/>
      <w:r>
        <w:rPr>
          <w:rFonts w:hint="eastAsia"/>
          <w:lang w:val="en-US" w:eastAsia="zh-CN"/>
        </w:rPr>
        <w:t xml:space="preserve"> </w:t>
      </w:r>
    </w:p>
    <w:p>
      <w:pPr>
        <w:widowControl w:val="0"/>
        <w:spacing w:before="120" w:after="120"/>
        <w:rPr>
          <w:b/>
          <w:i/>
          <w:sz w:val="20"/>
          <w:u w:val="single"/>
        </w:rPr>
      </w:pPr>
      <w:r>
        <w:rPr>
          <w:rFonts w:hint="eastAsia"/>
          <w:b/>
          <w:i/>
          <w:sz w:val="20"/>
          <w:u w:val="single"/>
        </w:rPr>
        <w:t>UL p</w:t>
      </w:r>
      <w:r>
        <w:rPr>
          <w:b/>
          <w:i/>
          <w:sz w:val="20"/>
          <w:u w:val="single"/>
        </w:rPr>
        <w:t xml:space="preserve">ower </w:t>
      </w:r>
      <w:r>
        <w:rPr>
          <w:rFonts w:hint="eastAsia"/>
          <w:b/>
          <w:i/>
          <w:sz w:val="20"/>
          <w:u w:val="single"/>
        </w:rPr>
        <w:t>control of an IAB node MT</w:t>
      </w:r>
    </w:p>
    <w:p>
      <w:pPr>
        <w:widowControl w:val="0"/>
        <w:spacing w:before="120" w:after="120"/>
        <w:rPr>
          <w:sz w:val="20"/>
        </w:rPr>
      </w:pPr>
      <w:r>
        <w:rPr>
          <w:rFonts w:hint="eastAsia"/>
          <w:sz w:val="20"/>
        </w:rPr>
        <w:t xml:space="preserve">In case of simultaneous DU-Tx/MT-Tx at IAB node, power sharing/coordination needs to be considered, the maximum allowed Tx power for IAB-MT is limited by the maximum allowed Tx power of IAB node and DL Tx power for IAB-DU. While backhaul link and access link of IAB node are multiplexing in TDM, the maximum allowed Tx power for IAB-MT can equal to the maximum allowed Tx power of IAB node to make full use of power resources. Therefore, on the time resource for different multiplexing scenarios, IAB-MT may have different power limitation. </w:t>
      </w:r>
      <w:bookmarkStart w:id="14" w:name="_Toc28164"/>
      <w:r>
        <w:rPr>
          <w:rFonts w:hint="eastAsia"/>
          <w:sz w:val="20"/>
        </w:rPr>
        <w:t>That means</w:t>
      </w:r>
      <w:bookmarkEnd w:id="14"/>
      <w:r>
        <w:rPr>
          <w:rFonts w:hint="eastAsia"/>
          <w:sz w:val="20"/>
        </w:rPr>
        <w:t xml:space="preserve"> UL power control assistance information of IAB-MT (i.e. </w:t>
      </w:r>
      <w:r>
        <w:rPr>
          <w:bCs/>
          <w:color w:val="000000"/>
          <w:sz w:val="20"/>
        </w:rPr>
        <w:t>desired IAB-MT PSD range</w:t>
      </w:r>
      <w:r>
        <w:rPr>
          <w:rFonts w:hint="eastAsia"/>
          <w:sz w:val="20"/>
        </w:rPr>
        <w:t>) should be associated with time resource.</w:t>
      </w:r>
    </w:p>
    <w:p>
      <w:pPr>
        <w:pStyle w:val="29"/>
        <w:widowControl w:val="0"/>
        <w:spacing w:before="120" w:after="120"/>
      </w:pPr>
      <w:bookmarkStart w:id="15" w:name="_Toc12098"/>
      <w:bookmarkStart w:id="16" w:name="_Toc83923236"/>
      <w:r>
        <w:rPr>
          <w:rFonts w:hint="eastAsia"/>
          <w:color w:val="000000"/>
          <w:lang w:val="en-US" w:eastAsia="zh-CN"/>
        </w:rPr>
        <w:t xml:space="preserve">The </w:t>
      </w:r>
      <w:r>
        <w:rPr>
          <w:color w:val="000000"/>
        </w:rPr>
        <w:t xml:space="preserve">desired IAB-MT PSD range </w:t>
      </w:r>
      <w:r>
        <w:rPr>
          <w:rFonts w:hint="eastAsia"/>
          <w:color w:val="000000"/>
          <w:lang w:val="en-US" w:eastAsia="zh-CN"/>
        </w:rPr>
        <w:t>should be reported per time resource</w:t>
      </w:r>
      <w:r>
        <w:rPr>
          <w:rFonts w:hint="eastAsia"/>
          <w:lang w:val="en-US" w:eastAsia="zh-CN"/>
        </w:rPr>
        <w:t>.</w:t>
      </w:r>
      <w:bookmarkEnd w:id="15"/>
      <w:bookmarkEnd w:id="16"/>
    </w:p>
    <w:p>
      <w:pPr>
        <w:spacing w:before="120" w:after="120"/>
        <w:rPr>
          <w:sz w:val="20"/>
        </w:rPr>
      </w:pPr>
      <w:r>
        <w:rPr>
          <w:rFonts w:hint="eastAsia"/>
          <w:sz w:val="20"/>
        </w:rPr>
        <w:t xml:space="preserve">Another issue </w:t>
      </w:r>
      <w:r>
        <w:rPr>
          <w:sz w:val="20"/>
        </w:rPr>
        <w:t xml:space="preserve">for </w:t>
      </w:r>
      <w:r>
        <w:rPr>
          <w:rFonts w:hint="eastAsia"/>
          <w:sz w:val="20"/>
        </w:rPr>
        <w:t xml:space="preserve">UL TX power control </w:t>
      </w:r>
      <w:r>
        <w:rPr>
          <w:sz w:val="20"/>
        </w:rPr>
        <w:t>is</w:t>
      </w:r>
      <w:r>
        <w:rPr>
          <w:rFonts w:hint="eastAsia"/>
          <w:sz w:val="20"/>
        </w:rPr>
        <w:t xml:space="preserve"> whether to extend PHR. The d</w:t>
      </w:r>
      <w:r>
        <w:rPr>
          <w:bCs/>
          <w:color w:val="000000"/>
          <w:sz w:val="20"/>
        </w:rPr>
        <w:t>esired IAB-MT PSD range</w:t>
      </w:r>
      <w:r>
        <w:rPr>
          <w:rFonts w:hint="eastAsia"/>
          <w:bCs/>
          <w:color w:val="000000"/>
          <w:sz w:val="20"/>
        </w:rPr>
        <w:t xml:space="preserve"> can ensure Tx power balance of IAB-MT and IAB-DU. Parent node also needs to determine the IAB-MT UL scheduling bandwidth based on PHR indicated by IAB-MT. However, PH values may be different for </w:t>
      </w:r>
      <w:r>
        <w:rPr>
          <w:rFonts w:hint="eastAsia"/>
          <w:sz w:val="20"/>
        </w:rPr>
        <w:t>different multiplexing scenarios or time resources because the maximum allowed transmission power of IAB-MT is different for different multiplexing scenarios.</w:t>
      </w:r>
      <w:r>
        <w:rPr>
          <w:rFonts w:hint="eastAsia"/>
          <w:bCs/>
          <w:color w:val="000000"/>
          <w:sz w:val="20"/>
        </w:rPr>
        <w:t xml:space="preserve"> </w:t>
      </w:r>
      <w:r>
        <w:rPr>
          <w:rFonts w:hint="eastAsia"/>
          <w:sz w:val="20"/>
        </w:rPr>
        <w:t xml:space="preserve">Therefore, we propose that </w:t>
      </w:r>
      <w:r>
        <w:rPr>
          <w:rFonts w:hint="eastAsia"/>
          <w:bCs/>
          <w:color w:val="000000"/>
          <w:sz w:val="20"/>
        </w:rPr>
        <w:t>PH values can be indicated by IAB-MT to the parent node per time resource.</w:t>
      </w:r>
    </w:p>
    <w:p>
      <w:pPr>
        <w:pStyle w:val="29"/>
        <w:widowControl w:val="0"/>
        <w:spacing w:before="120" w:after="120"/>
        <w:rPr>
          <w:lang w:val="en-US" w:eastAsia="zh-CN"/>
        </w:rPr>
      </w:pPr>
      <w:bookmarkStart w:id="17" w:name="_Toc83923237"/>
      <w:bookmarkStart w:id="18" w:name="_Toc32764"/>
      <w:r>
        <w:rPr>
          <w:rFonts w:hint="eastAsia"/>
          <w:lang w:val="en-US" w:eastAsia="zh-CN"/>
        </w:rPr>
        <w:t>PH values can be indicated by IAB-MT to the parent node per time resource.</w:t>
      </w:r>
      <w:bookmarkEnd w:id="17"/>
      <w:bookmarkEnd w:id="18"/>
    </w:p>
    <w:p>
      <w:pPr>
        <w:pStyle w:val="4"/>
        <w:widowControl w:val="0"/>
        <w:spacing w:before="120" w:after="120"/>
        <w:ind w:right="210"/>
      </w:pPr>
      <w:r>
        <w:rPr>
          <w:rFonts w:hint="eastAsia" w:ascii="Arial" w:hAnsi="Arial" w:cs="Arial"/>
        </w:rPr>
        <w:t xml:space="preserve">2.3 </w:t>
      </w:r>
      <w:r>
        <w:rPr>
          <w:rFonts w:ascii="Arial" w:hAnsi="Arial" w:cs="Arial"/>
          <w:szCs w:val="22"/>
        </w:rPr>
        <w:t>CLI and interference measurements for simultaneous operation</w:t>
      </w:r>
    </w:p>
    <w:p>
      <w:pPr>
        <w:widowControl w:val="0"/>
        <w:spacing w:before="120" w:after="120"/>
        <w:rPr>
          <w:sz w:val="20"/>
        </w:rPr>
      </w:pPr>
      <w:r>
        <w:rPr>
          <w:rFonts w:hint="eastAsia"/>
          <w:sz w:val="20"/>
        </w:rPr>
        <w:t>In RAN1#106-e meeting, the following agreements were achieved: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cs="Times"/>
                <w:b/>
                <w:sz w:val="20"/>
              </w:rPr>
            </w:pPr>
            <w:r>
              <w:rPr>
                <w:rFonts w:hint="eastAsia" w:cs="Times"/>
                <w:b/>
                <w:sz w:val="20"/>
              </w:rPr>
              <w:t>RAN1#106-e</w:t>
            </w:r>
          </w:p>
          <w:p>
            <w:pPr>
              <w:widowControl w:val="0"/>
              <w:spacing w:before="120" w:after="120"/>
              <w:rPr>
                <w:rFonts w:cs="Times"/>
                <w:b/>
                <w:bCs/>
                <w:sz w:val="20"/>
                <w:highlight w:val="green"/>
              </w:rPr>
            </w:pPr>
            <w:r>
              <w:rPr>
                <w:rFonts w:cs="Times"/>
                <w:b/>
                <w:bCs/>
                <w:sz w:val="20"/>
                <w:highlight w:val="green"/>
              </w:rPr>
              <w:t>Agreement</w:t>
            </w:r>
          </w:p>
          <w:p>
            <w:pPr>
              <w:widowControl w:val="0"/>
              <w:spacing w:before="120" w:after="120"/>
              <w:rPr>
                <w:rFonts w:eastAsia="Calibri" w:cs="Times"/>
                <w:sz w:val="20"/>
              </w:rPr>
            </w:pPr>
            <w:r>
              <w:rPr>
                <w:rFonts w:eastAsia="Calibri" w:cs="Times"/>
                <w:sz w:val="20"/>
              </w:rPr>
              <w:t>For the support of DU-to-DU measurement and report:</w:t>
            </w:r>
          </w:p>
          <w:p>
            <w:pPr>
              <w:pStyle w:val="34"/>
              <w:widowControl w:val="0"/>
              <w:numPr>
                <w:ilvl w:val="0"/>
                <w:numId w:val="12"/>
              </w:numPr>
              <w:spacing w:after="120"/>
              <w:textAlignment w:val="baseline"/>
              <w:rPr>
                <w:rFonts w:eastAsia="Calibri" w:cs="Times"/>
                <w:sz w:val="20"/>
                <w:szCs w:val="20"/>
              </w:rPr>
            </w:pPr>
            <w:r>
              <w:rPr>
                <w:rFonts w:eastAsia="Calibri" w:cs="Times"/>
                <w:sz w:val="20"/>
                <w:szCs w:val="20"/>
              </w:rPr>
              <w:t>For DU-to-DU CLI measurement:</w:t>
            </w:r>
          </w:p>
          <w:p>
            <w:pPr>
              <w:pStyle w:val="34"/>
              <w:widowControl w:val="0"/>
              <w:numPr>
                <w:ilvl w:val="1"/>
                <w:numId w:val="12"/>
              </w:numPr>
              <w:spacing w:after="120"/>
              <w:textAlignment w:val="baseline"/>
              <w:rPr>
                <w:rFonts w:eastAsia="Calibri" w:cs="Times"/>
                <w:sz w:val="20"/>
                <w:szCs w:val="20"/>
              </w:rPr>
            </w:pPr>
            <w:r>
              <w:rPr>
                <w:rFonts w:eastAsia="Calibri" w:cs="Times"/>
                <w:sz w:val="20"/>
                <w:szCs w:val="20"/>
              </w:rPr>
              <w:t>Option 1.1. no specific mechanism is specified (e.g., it is handled by the implementation, or the available techniques)</w:t>
            </w:r>
          </w:p>
          <w:p>
            <w:pPr>
              <w:pStyle w:val="34"/>
              <w:widowControl w:val="0"/>
              <w:numPr>
                <w:ilvl w:val="0"/>
                <w:numId w:val="12"/>
              </w:numPr>
              <w:spacing w:after="120"/>
              <w:textAlignment w:val="baseline"/>
              <w:rPr>
                <w:rFonts w:eastAsia="Calibri" w:cs="Times"/>
                <w:sz w:val="20"/>
                <w:szCs w:val="20"/>
              </w:rPr>
            </w:pPr>
            <w:r>
              <w:rPr>
                <w:rFonts w:eastAsia="Calibri" w:cs="Times"/>
                <w:sz w:val="20"/>
                <w:szCs w:val="20"/>
              </w:rPr>
              <w:t>For DU-to-DU CLI report:</w:t>
            </w:r>
          </w:p>
          <w:p>
            <w:pPr>
              <w:pStyle w:val="34"/>
              <w:widowControl w:val="0"/>
              <w:numPr>
                <w:ilvl w:val="1"/>
                <w:numId w:val="12"/>
              </w:numPr>
              <w:spacing w:after="120"/>
              <w:textAlignment w:val="baseline"/>
              <w:rPr>
                <w:rFonts w:cs="Times"/>
                <w:bCs/>
                <w:sz w:val="20"/>
                <w:szCs w:val="20"/>
              </w:rPr>
            </w:pPr>
            <w:r>
              <w:rPr>
                <w:rFonts w:eastAsia="Calibri" w:cs="Times"/>
                <w:sz w:val="20"/>
                <w:szCs w:val="20"/>
              </w:rPr>
              <w:t>Option 2.1. no specific mechanism is specified (e.g., it is handled by the implementation, or the available techniques)</w:t>
            </w:r>
          </w:p>
          <w:p>
            <w:pPr>
              <w:widowControl w:val="0"/>
              <w:spacing w:before="120" w:after="120"/>
              <w:rPr>
                <w:rFonts w:cs="Times"/>
                <w:b/>
                <w:bCs/>
                <w:sz w:val="20"/>
                <w:lang w:eastAsia="ja-JP"/>
              </w:rPr>
            </w:pPr>
            <w:r>
              <w:rPr>
                <w:rFonts w:cs="Times"/>
                <w:b/>
                <w:bCs/>
                <w:sz w:val="20"/>
                <w:lang w:eastAsia="ja-JP"/>
              </w:rPr>
              <w:t>Conclusion</w:t>
            </w:r>
          </w:p>
          <w:p>
            <w:pPr>
              <w:widowControl w:val="0"/>
              <w:spacing w:before="120" w:after="120"/>
              <w:rPr>
                <w:rFonts w:cs="Times"/>
                <w:bCs/>
                <w:sz w:val="20"/>
              </w:rPr>
            </w:pPr>
            <w:r>
              <w:rPr>
                <w:rFonts w:cs="Times"/>
                <w:sz w:val="20"/>
                <w:lang w:eastAsia="ja-JP"/>
              </w:rPr>
              <w:t>Discuss under 8.10.1 whether CLI measurements should be included in the beam report from a node to its parent node.</w:t>
            </w:r>
          </w:p>
        </w:tc>
      </w:tr>
    </w:tbl>
    <w:p>
      <w:pPr>
        <w:widowControl w:val="0"/>
        <w:spacing w:before="120" w:after="120"/>
        <w:rPr>
          <w:sz w:val="20"/>
        </w:rPr>
      </w:pPr>
      <w:r>
        <w:rPr>
          <w:rFonts w:hint="eastAsia"/>
          <w:sz w:val="20"/>
        </w:rPr>
        <w:t xml:space="preserve">For CLI in IAB scenario, it has been agreed that for DU to DU </w:t>
      </w:r>
      <w:r>
        <w:rPr>
          <w:rFonts w:eastAsia="Calibri"/>
          <w:sz w:val="20"/>
        </w:rPr>
        <w:t>measurement and report</w:t>
      </w:r>
      <w:r>
        <w:rPr>
          <w:rFonts w:hint="eastAsia"/>
          <w:sz w:val="20"/>
        </w:rPr>
        <w:t xml:space="preserve">, no specific mechanism is specified. Regarding the left issues, we continue to discuss MT to MT CLI </w:t>
      </w:r>
      <w:r>
        <w:rPr>
          <w:rFonts w:eastAsia="Calibri"/>
          <w:sz w:val="20"/>
        </w:rPr>
        <w:t>measurement and report</w:t>
      </w:r>
      <w:r>
        <w:rPr>
          <w:rFonts w:hint="eastAsia"/>
          <w:sz w:val="20"/>
        </w:rPr>
        <w:t xml:space="preserve"> in this section.</w:t>
      </w:r>
    </w:p>
    <w:p>
      <w:pPr>
        <w:widowControl w:val="0"/>
        <w:spacing w:before="120" w:after="120"/>
        <w:rPr>
          <w:sz w:val="20"/>
        </w:rPr>
      </w:pPr>
      <w:r>
        <w:rPr>
          <w:sz w:val="20"/>
        </w:rPr>
        <w:t>In R</w:t>
      </w:r>
      <w:r>
        <w:rPr>
          <w:rFonts w:hint="eastAsia"/>
          <w:sz w:val="20"/>
        </w:rPr>
        <w:t>el-</w:t>
      </w:r>
      <w:r>
        <w:rPr>
          <w:sz w:val="20"/>
        </w:rPr>
        <w:t xml:space="preserve">16, for CLI of UE to UE, high layer </w:t>
      </w:r>
      <w:r>
        <w:rPr>
          <w:rFonts w:hint="eastAsia"/>
          <w:sz w:val="20"/>
        </w:rPr>
        <w:t xml:space="preserve">has </w:t>
      </w:r>
      <w:r>
        <w:rPr>
          <w:sz w:val="20"/>
        </w:rPr>
        <w:t xml:space="preserve">defined CLI </w:t>
      </w:r>
      <w:r>
        <w:rPr>
          <w:rFonts w:hint="eastAsia"/>
          <w:sz w:val="20"/>
        </w:rPr>
        <w:t>report r</w:t>
      </w:r>
      <w:r>
        <w:rPr>
          <w:sz w:val="20"/>
        </w:rPr>
        <w:t xml:space="preserve">esource by </w:t>
      </w:r>
      <w:r>
        <w:rPr>
          <w:i/>
          <w:iCs/>
          <w:sz w:val="20"/>
          <w:lang w:val="en-GB" w:eastAsia="en-GB"/>
        </w:rPr>
        <w:t>CLI-ResourceConfig-r16</w:t>
      </w:r>
      <w:r>
        <w:rPr>
          <w:sz w:val="20"/>
        </w:rPr>
        <w:t xml:space="preserve">, CLI measurement by </w:t>
      </w:r>
      <w:r>
        <w:rPr>
          <w:i/>
          <w:iCs/>
          <w:sz w:val="20"/>
          <w:lang w:val="en-GB" w:eastAsia="en-GB"/>
        </w:rPr>
        <w:t>MeasResultCLI-r16</w:t>
      </w:r>
      <w:r>
        <w:rPr>
          <w:sz w:val="20"/>
        </w:rPr>
        <w:t xml:space="preserve"> and CLI report by </w:t>
      </w:r>
      <w:r>
        <w:rPr>
          <w:i/>
          <w:iCs/>
          <w:sz w:val="20"/>
          <w:lang w:val="en-GB" w:eastAsia="en-GB"/>
        </w:rPr>
        <w:t>ReportConfigNR</w:t>
      </w:r>
      <w:r>
        <w:rPr>
          <w:rFonts w:hint="eastAsia"/>
          <w:sz w:val="20"/>
        </w:rPr>
        <w:t>.</w:t>
      </w:r>
      <w:r>
        <w:rPr>
          <w:sz w:val="20"/>
        </w:rPr>
        <w:t xml:space="preserve"> </w:t>
      </w:r>
      <w:r>
        <w:rPr>
          <w:rFonts w:hint="eastAsia"/>
          <w:sz w:val="20"/>
        </w:rPr>
        <w:t xml:space="preserve">When it comes to MT to MT CLI, an </w:t>
      </w:r>
      <w:r>
        <w:rPr>
          <w:sz w:val="20"/>
        </w:rPr>
        <w:t xml:space="preserve">IAB MT can be </w:t>
      </w:r>
      <w:r>
        <w:rPr>
          <w:rFonts w:hint="eastAsia"/>
          <w:sz w:val="20"/>
        </w:rPr>
        <w:t xml:space="preserve">regarded </w:t>
      </w:r>
      <w:r>
        <w:rPr>
          <w:sz w:val="20"/>
        </w:rPr>
        <w:t xml:space="preserve">as a UE, and the defined CLI procedure </w:t>
      </w:r>
      <w:r>
        <w:rPr>
          <w:rFonts w:hint="eastAsia"/>
          <w:sz w:val="20"/>
        </w:rPr>
        <w:t xml:space="preserve">in Rel-16 </w:t>
      </w:r>
      <w:r>
        <w:rPr>
          <w:sz w:val="20"/>
        </w:rPr>
        <w:t xml:space="preserve">can be reused for MT to MT </w:t>
      </w:r>
      <w:r>
        <w:rPr>
          <w:rFonts w:eastAsia="Calibri"/>
          <w:sz w:val="20"/>
        </w:rPr>
        <w:t>measurement and report</w:t>
      </w:r>
      <w:r>
        <w:rPr>
          <w:sz w:val="20"/>
        </w:rPr>
        <w:t>.</w:t>
      </w:r>
    </w:p>
    <w:p>
      <w:pPr>
        <w:pStyle w:val="29"/>
        <w:widowControl w:val="0"/>
        <w:spacing w:before="120" w:after="120"/>
        <w:rPr>
          <w:lang w:val="en-US" w:eastAsia="zh-CN"/>
        </w:rPr>
      </w:pPr>
      <w:bookmarkStart w:id="19" w:name="_Toc14949"/>
      <w:bookmarkStart w:id="20" w:name="_Toc22351"/>
      <w:bookmarkStart w:id="21" w:name="_Toc23942"/>
      <w:bookmarkStart w:id="22" w:name="_Toc27490"/>
      <w:bookmarkStart w:id="23" w:name="_Toc16903"/>
      <w:bookmarkStart w:id="24" w:name="_Toc14611"/>
      <w:bookmarkStart w:id="25" w:name="_Toc6151"/>
      <w:bookmarkStart w:id="26" w:name="_Toc29886"/>
      <w:bookmarkStart w:id="27" w:name="_Toc12455"/>
      <w:bookmarkStart w:id="28" w:name="_Toc13887"/>
      <w:bookmarkStart w:id="29" w:name="_Toc32612"/>
      <w:bookmarkStart w:id="30" w:name="_Toc4833"/>
      <w:bookmarkStart w:id="31" w:name="_Toc13233"/>
      <w:bookmarkStart w:id="32" w:name="_Toc71712016"/>
      <w:bookmarkStart w:id="33" w:name="_Toc26722"/>
      <w:bookmarkStart w:id="34" w:name="_Toc27294"/>
      <w:bookmarkStart w:id="35" w:name="_Toc12064"/>
      <w:bookmarkStart w:id="36" w:name="_Toc12144"/>
      <w:bookmarkStart w:id="37" w:name="_Toc29339"/>
      <w:bookmarkStart w:id="38" w:name="_Toc26699"/>
      <w:bookmarkStart w:id="39" w:name="_Toc32323"/>
      <w:bookmarkStart w:id="40" w:name="_Toc5987"/>
      <w:bookmarkStart w:id="41" w:name="_Toc17102"/>
      <w:bookmarkStart w:id="42" w:name="_Toc22472"/>
      <w:bookmarkStart w:id="43" w:name="_Toc83923238"/>
      <w:bookmarkStart w:id="44" w:name="_Toc2015"/>
      <w:r>
        <w:rPr>
          <w:lang w:val="en-US" w:eastAsia="zh-CN"/>
        </w:rPr>
        <w:t>L</w:t>
      </w:r>
      <w:r>
        <w:rPr>
          <w:rFonts w:hint="eastAsia"/>
          <w:lang w:val="en-US" w:eastAsia="zh-CN"/>
        </w:rPr>
        <w:t>egacy UE to UE CLI procedure can be reused for MT to MT CLI</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rFonts w:hint="eastAsia"/>
          <w:lang w:val="en-US" w:eastAsia="zh-CN"/>
        </w:rPr>
        <w:t xml:space="preserve"> </w:t>
      </w:r>
      <w:r>
        <w:rPr>
          <w:rFonts w:eastAsia="Calibri"/>
        </w:rPr>
        <w:t>measurement and report</w:t>
      </w:r>
      <w:r>
        <w:rPr>
          <w:rFonts w:hint="eastAsia"/>
          <w:lang w:val="en-US" w:eastAsia="zh-CN"/>
        </w:rPr>
        <w:t>.</w:t>
      </w:r>
      <w:bookmarkEnd w:id="43"/>
      <w:bookmarkEnd w:id="44"/>
    </w:p>
    <w:p>
      <w:pPr>
        <w:pStyle w:val="2"/>
        <w:keepNext w:val="0"/>
        <w:keepLines w:val="0"/>
        <w:widowControl w:val="0"/>
        <w:spacing w:before="120" w:after="120"/>
        <w:ind w:left="0"/>
        <w:rPr>
          <w:rFonts w:eastAsia="宋体"/>
        </w:rPr>
      </w:pPr>
      <w:r>
        <w:rPr>
          <w:rFonts w:hint="eastAsia" w:eastAsia="宋体"/>
        </w:rPr>
        <w:t>Conclusion</w:t>
      </w:r>
    </w:p>
    <w:p>
      <w:pPr>
        <w:widowControl w:val="0"/>
        <w:tabs>
          <w:tab w:val="left" w:pos="2520"/>
        </w:tabs>
        <w:spacing w:before="120" w:after="120"/>
        <w:rPr>
          <w:sz w:val="20"/>
        </w:rPr>
      </w:pPr>
      <w:r>
        <w:rPr>
          <w:rFonts w:hint="eastAsia"/>
          <w:sz w:val="20"/>
        </w:rPr>
        <w:t>According to the discussion above, we provide the following observation and proposal</w:t>
      </w:r>
      <w:r>
        <w:rPr>
          <w:sz w:val="20"/>
        </w:rPr>
        <w:t>s</w:t>
      </w:r>
      <w:r>
        <w:rPr>
          <w:rFonts w:hint="eastAsia"/>
          <w:sz w:val="20"/>
        </w:rPr>
        <w:t>:</w:t>
      </w:r>
    </w:p>
    <w:p>
      <w:pPr>
        <w:pStyle w:val="16"/>
        <w:tabs>
          <w:tab w:val="right" w:pos="9660"/>
        </w:tabs>
        <w:spacing w:before="120" w:after="120"/>
      </w:pPr>
      <w:r>
        <w:fldChar w:fldCharType="begin"/>
      </w:r>
      <w:r>
        <w:instrText xml:space="preserve">TOC \n  \t "YJ-Observation,1,sub-observation,2,3rd level observation,3" \h</w:instrText>
      </w:r>
      <w:r>
        <w:fldChar w:fldCharType="separate"/>
      </w:r>
      <w:r>
        <w:fldChar w:fldCharType="begin"/>
      </w:r>
      <w:r>
        <w:instrText xml:space="preserve"> HYPERLINK \l "_Toc3572" </w:instrText>
      </w:r>
      <w:r>
        <w:fldChar w:fldCharType="separate"/>
      </w:r>
      <w:r>
        <w:rPr>
          <w:rFonts w:eastAsia="宋体"/>
          <w:bCs/>
          <w:iCs/>
        </w:rPr>
        <w:t xml:space="preserve">Observation 1: </w:t>
      </w:r>
      <w:r>
        <w:rPr>
          <w:rFonts w:hint="eastAsia" w:cs="Times"/>
          <w:iCs/>
        </w:rPr>
        <w:t>UEs can not work properly if there is only case-6 timing in the system.</w:t>
      </w:r>
      <w:r>
        <w:rPr>
          <w:rFonts w:hint="eastAsia" w:cs="Times"/>
          <w:iCs/>
        </w:rPr>
        <w:fldChar w:fldCharType="end"/>
      </w:r>
    </w:p>
    <w:p>
      <w:pPr>
        <w:widowControl w:val="0"/>
        <w:tabs>
          <w:tab w:val="left" w:pos="2520"/>
        </w:tabs>
        <w:spacing w:before="120" w:after="120"/>
        <w:rPr>
          <w:sz w:val="20"/>
        </w:rPr>
      </w:pPr>
      <w:r>
        <w:fldChar w:fldCharType="end"/>
      </w:r>
    </w:p>
    <w:p>
      <w:pPr>
        <w:pStyle w:val="16"/>
        <w:tabs>
          <w:tab w:val="left" w:pos="1282"/>
          <w:tab w:val="right" w:pos="9650"/>
        </w:tabs>
        <w:spacing w:before="120" w:after="120"/>
        <w:rPr>
          <w:rFonts w:asciiTheme="minorHAnsi" w:hAnsiTheme="minorHAnsi" w:cstheme="minorBidi"/>
          <w:b w:val="0"/>
          <w:i w:val="0"/>
          <w:sz w:val="21"/>
          <w:szCs w:val="22"/>
        </w:rPr>
      </w:pPr>
      <w:r>
        <w:fldChar w:fldCharType="begin"/>
      </w:r>
      <w:r>
        <w:instrText xml:space="preserve">TOC \n  \t "YJ-Proposal,1,sub-proposal,2,3rd level proposal,3" \h</w:instrText>
      </w:r>
      <w:r>
        <w:fldChar w:fldCharType="separate"/>
      </w:r>
      <w:r>
        <w:fldChar w:fldCharType="begin"/>
      </w:r>
      <w:r>
        <w:instrText xml:space="preserve"> HYPERLINK \l "_Toc83923231" </w:instrText>
      </w:r>
      <w:r>
        <w:fldChar w:fldCharType="separate"/>
      </w:r>
      <w:r>
        <w:rPr>
          <w:rStyle w:val="27"/>
          <w:rFonts w:eastAsia="宋体"/>
        </w:rPr>
        <w:t>Proposal 1:</w:t>
      </w:r>
      <w:r>
        <w:rPr>
          <w:rFonts w:asciiTheme="minorHAnsi" w:hAnsiTheme="minorHAnsi" w:cstheme="minorBidi"/>
          <w:b w:val="0"/>
          <w:i w:val="0"/>
          <w:sz w:val="21"/>
          <w:szCs w:val="22"/>
        </w:rPr>
        <w:tab/>
      </w:r>
      <w:r>
        <w:rPr>
          <w:rStyle w:val="27"/>
          <w:rFonts w:cs="Times"/>
        </w:rPr>
        <w:t>For OTA synchronization for case-6 timing, no additional standardization is required, i.e., DL-Tx timing can be obtained through case-1 timing.</w:t>
      </w:r>
      <w:r>
        <w:rPr>
          <w:rStyle w:val="27"/>
          <w:rFonts w:cs="Times"/>
        </w:rPr>
        <w:fldChar w:fldCharType="end"/>
      </w:r>
    </w:p>
    <w:p>
      <w:pPr>
        <w:pStyle w:val="16"/>
        <w:tabs>
          <w:tab w:val="left" w:pos="1282"/>
          <w:tab w:val="right" w:pos="9650"/>
        </w:tabs>
        <w:spacing w:before="120" w:after="120"/>
        <w:rPr>
          <w:rFonts w:asciiTheme="minorHAnsi" w:hAnsiTheme="minorHAnsi" w:cstheme="minorBidi"/>
          <w:b w:val="0"/>
          <w:i w:val="0"/>
          <w:sz w:val="21"/>
          <w:szCs w:val="22"/>
        </w:rPr>
      </w:pPr>
      <w:r>
        <w:fldChar w:fldCharType="begin"/>
      </w:r>
      <w:r>
        <w:instrText xml:space="preserve"> HYPERLINK \l "_Toc83923232" </w:instrText>
      </w:r>
      <w:r>
        <w:fldChar w:fldCharType="separate"/>
      </w:r>
      <w:r>
        <w:rPr>
          <w:rStyle w:val="27"/>
          <w:rFonts w:eastAsia="宋体"/>
        </w:rPr>
        <w:t>Proposal 2:</w:t>
      </w:r>
      <w:r>
        <w:rPr>
          <w:rFonts w:asciiTheme="minorHAnsi" w:hAnsiTheme="minorHAnsi" w:cstheme="minorBidi"/>
          <w:b w:val="0"/>
          <w:i w:val="0"/>
          <w:sz w:val="21"/>
          <w:szCs w:val="22"/>
        </w:rPr>
        <w:tab/>
      </w:r>
      <w:r>
        <w:rPr>
          <w:rStyle w:val="27"/>
          <w:rFonts w:cs="Times"/>
        </w:rPr>
        <w:t>For the granularity, signaling and index mapping of the offset, the legacy Tdelta mechanism can be reused. About specific values, RAN4 can further participate in the evaluation.</w:t>
      </w:r>
      <w:r>
        <w:rPr>
          <w:rStyle w:val="27"/>
          <w:rFonts w:cs="Times"/>
        </w:rPr>
        <w:fldChar w:fldCharType="end"/>
      </w:r>
    </w:p>
    <w:p>
      <w:pPr>
        <w:pStyle w:val="16"/>
        <w:tabs>
          <w:tab w:val="left" w:pos="1282"/>
          <w:tab w:val="right" w:pos="9650"/>
        </w:tabs>
        <w:spacing w:before="120" w:after="120"/>
        <w:rPr>
          <w:rFonts w:asciiTheme="minorHAnsi" w:hAnsiTheme="minorHAnsi" w:cstheme="minorBidi"/>
          <w:b w:val="0"/>
          <w:i w:val="0"/>
          <w:sz w:val="21"/>
          <w:szCs w:val="22"/>
        </w:rPr>
      </w:pPr>
      <w:r>
        <w:fldChar w:fldCharType="begin"/>
      </w:r>
      <w:r>
        <w:instrText xml:space="preserve"> HYPERLINK \l "_Toc83923233" </w:instrText>
      </w:r>
      <w:r>
        <w:fldChar w:fldCharType="separate"/>
      </w:r>
      <w:r>
        <w:rPr>
          <w:rStyle w:val="27"/>
          <w:rFonts w:eastAsia="宋体"/>
        </w:rPr>
        <w:t>Proposal 3:</w:t>
      </w:r>
      <w:r>
        <w:rPr>
          <w:rFonts w:asciiTheme="minorHAnsi" w:hAnsiTheme="minorHAnsi" w:cstheme="minorBidi"/>
          <w:b w:val="0"/>
          <w:i w:val="0"/>
          <w:sz w:val="21"/>
          <w:szCs w:val="22"/>
        </w:rPr>
        <w:tab/>
      </w:r>
      <w:r>
        <w:rPr>
          <w:rStyle w:val="27"/>
          <w:rFonts w:cs="Times"/>
        </w:rPr>
        <w:t>An IAB-node is indicated by the parent node when case-7 timing should be performed at the IAB-node.</w:t>
      </w:r>
      <w:r>
        <w:rPr>
          <w:rStyle w:val="27"/>
          <w:rFonts w:cs="Times"/>
        </w:rPr>
        <w:fldChar w:fldCharType="end"/>
      </w:r>
    </w:p>
    <w:p>
      <w:pPr>
        <w:pStyle w:val="16"/>
        <w:tabs>
          <w:tab w:val="left" w:pos="1282"/>
          <w:tab w:val="right" w:pos="9650"/>
        </w:tabs>
        <w:spacing w:before="120" w:after="120"/>
        <w:rPr>
          <w:rFonts w:asciiTheme="minorHAnsi" w:hAnsiTheme="minorHAnsi" w:cstheme="minorBidi"/>
          <w:b w:val="0"/>
          <w:i w:val="0"/>
          <w:sz w:val="21"/>
          <w:szCs w:val="22"/>
        </w:rPr>
      </w:pPr>
      <w:r>
        <w:fldChar w:fldCharType="begin"/>
      </w:r>
      <w:r>
        <w:instrText xml:space="preserve"> HYPERLINK \l "_Toc83923234" </w:instrText>
      </w:r>
      <w:r>
        <w:fldChar w:fldCharType="separate"/>
      </w:r>
      <w:r>
        <w:rPr>
          <w:rStyle w:val="27"/>
          <w:rFonts w:eastAsia="宋体"/>
        </w:rPr>
        <w:t>Proposal 4:</w:t>
      </w:r>
      <w:r>
        <w:rPr>
          <w:rFonts w:asciiTheme="minorHAnsi" w:hAnsiTheme="minorHAnsi" w:cstheme="minorBidi"/>
          <w:b w:val="0"/>
          <w:i w:val="0"/>
          <w:sz w:val="21"/>
          <w:szCs w:val="22"/>
        </w:rPr>
        <w:tab/>
      </w:r>
      <w:r>
        <w:rPr>
          <w:rStyle w:val="27"/>
        </w:rPr>
        <w:t>The desired DL TX power adjustment and provided DL TX power indication should be a power offset related to Tx power of DL RS (i.e. beam information).</w:t>
      </w:r>
      <w:r>
        <w:rPr>
          <w:rStyle w:val="27"/>
        </w:rPr>
        <w:fldChar w:fldCharType="end"/>
      </w:r>
    </w:p>
    <w:p>
      <w:pPr>
        <w:pStyle w:val="16"/>
        <w:tabs>
          <w:tab w:val="left" w:pos="1282"/>
          <w:tab w:val="right" w:pos="9650"/>
        </w:tabs>
        <w:spacing w:before="120" w:after="120"/>
        <w:rPr>
          <w:rFonts w:asciiTheme="minorHAnsi" w:hAnsiTheme="minorHAnsi" w:cstheme="minorBidi"/>
          <w:b w:val="0"/>
          <w:i w:val="0"/>
          <w:sz w:val="21"/>
          <w:szCs w:val="22"/>
        </w:rPr>
      </w:pPr>
      <w:r>
        <w:fldChar w:fldCharType="begin"/>
      </w:r>
      <w:r>
        <w:instrText xml:space="preserve"> HYPERLINK \l "_Toc83923235" </w:instrText>
      </w:r>
      <w:r>
        <w:fldChar w:fldCharType="separate"/>
      </w:r>
      <w:r>
        <w:rPr>
          <w:rStyle w:val="27"/>
          <w:rFonts w:eastAsia="宋体"/>
        </w:rPr>
        <w:t>Proposal 5:</w:t>
      </w:r>
      <w:r>
        <w:rPr>
          <w:rFonts w:asciiTheme="minorHAnsi" w:hAnsiTheme="minorHAnsi" w:cstheme="minorBidi"/>
          <w:b w:val="0"/>
          <w:i w:val="0"/>
          <w:sz w:val="21"/>
          <w:szCs w:val="22"/>
        </w:rPr>
        <w:tab/>
      </w:r>
      <w:r>
        <w:rPr>
          <w:rStyle w:val="27"/>
        </w:rPr>
        <w:t>Both of the desired DL TX power adjustment and the provided DL TX power adjustment can be indicated by MAC CE.</w:t>
      </w:r>
      <w:r>
        <w:rPr>
          <w:rStyle w:val="27"/>
        </w:rPr>
        <w:fldChar w:fldCharType="end"/>
      </w:r>
    </w:p>
    <w:p>
      <w:pPr>
        <w:pStyle w:val="16"/>
        <w:tabs>
          <w:tab w:val="left" w:pos="1282"/>
          <w:tab w:val="right" w:pos="9650"/>
        </w:tabs>
        <w:spacing w:before="120" w:after="120"/>
        <w:rPr>
          <w:rFonts w:asciiTheme="minorHAnsi" w:hAnsiTheme="minorHAnsi" w:cstheme="minorBidi"/>
          <w:b w:val="0"/>
          <w:i w:val="0"/>
          <w:sz w:val="21"/>
          <w:szCs w:val="22"/>
        </w:rPr>
      </w:pPr>
      <w:r>
        <w:fldChar w:fldCharType="begin"/>
      </w:r>
      <w:r>
        <w:instrText xml:space="preserve"> HYPERLINK \l "_Toc83923236" </w:instrText>
      </w:r>
      <w:r>
        <w:fldChar w:fldCharType="separate"/>
      </w:r>
      <w:r>
        <w:rPr>
          <w:rStyle w:val="27"/>
          <w:rFonts w:eastAsia="宋体"/>
        </w:rPr>
        <w:t>Proposal 6:</w:t>
      </w:r>
      <w:r>
        <w:rPr>
          <w:rFonts w:asciiTheme="minorHAnsi" w:hAnsiTheme="minorHAnsi" w:cstheme="minorBidi"/>
          <w:b w:val="0"/>
          <w:i w:val="0"/>
          <w:sz w:val="21"/>
          <w:szCs w:val="22"/>
        </w:rPr>
        <w:tab/>
      </w:r>
      <w:r>
        <w:rPr>
          <w:rStyle w:val="27"/>
        </w:rPr>
        <w:t>The desired IAB-MT PSD range should be reported per time resource.</w:t>
      </w:r>
      <w:r>
        <w:rPr>
          <w:rStyle w:val="27"/>
        </w:rPr>
        <w:fldChar w:fldCharType="end"/>
      </w:r>
    </w:p>
    <w:p>
      <w:pPr>
        <w:pStyle w:val="16"/>
        <w:tabs>
          <w:tab w:val="left" w:pos="1282"/>
          <w:tab w:val="right" w:pos="9650"/>
        </w:tabs>
        <w:spacing w:before="120" w:after="120"/>
        <w:rPr>
          <w:rFonts w:asciiTheme="minorHAnsi" w:hAnsiTheme="minorHAnsi" w:cstheme="minorBidi"/>
          <w:b w:val="0"/>
          <w:i w:val="0"/>
          <w:sz w:val="21"/>
          <w:szCs w:val="22"/>
        </w:rPr>
      </w:pPr>
      <w:r>
        <w:fldChar w:fldCharType="begin"/>
      </w:r>
      <w:r>
        <w:instrText xml:space="preserve"> HYPERLINK \l "_Toc83923237" </w:instrText>
      </w:r>
      <w:r>
        <w:fldChar w:fldCharType="separate"/>
      </w:r>
      <w:r>
        <w:rPr>
          <w:rStyle w:val="27"/>
          <w:rFonts w:eastAsia="宋体"/>
        </w:rPr>
        <w:t>Proposal 7:</w:t>
      </w:r>
      <w:r>
        <w:rPr>
          <w:rFonts w:asciiTheme="minorHAnsi" w:hAnsiTheme="minorHAnsi" w:cstheme="minorBidi"/>
          <w:b w:val="0"/>
          <w:i w:val="0"/>
          <w:sz w:val="21"/>
          <w:szCs w:val="22"/>
        </w:rPr>
        <w:tab/>
      </w:r>
      <w:r>
        <w:rPr>
          <w:rStyle w:val="27"/>
        </w:rPr>
        <w:t>PH values can be indicated by IAB-MT to the parent node per time resource.</w:t>
      </w:r>
      <w:r>
        <w:rPr>
          <w:rStyle w:val="27"/>
        </w:rPr>
        <w:fldChar w:fldCharType="end"/>
      </w:r>
    </w:p>
    <w:p>
      <w:pPr>
        <w:pStyle w:val="16"/>
        <w:tabs>
          <w:tab w:val="left" w:pos="1282"/>
          <w:tab w:val="right" w:pos="9650"/>
        </w:tabs>
        <w:spacing w:before="120" w:after="120"/>
        <w:rPr>
          <w:rFonts w:asciiTheme="minorHAnsi" w:hAnsiTheme="minorHAnsi" w:cstheme="minorBidi"/>
          <w:b w:val="0"/>
          <w:i w:val="0"/>
          <w:sz w:val="21"/>
          <w:szCs w:val="22"/>
        </w:rPr>
      </w:pPr>
      <w:r>
        <w:fldChar w:fldCharType="begin"/>
      </w:r>
      <w:r>
        <w:instrText xml:space="preserve"> HYPERLINK \l "_Toc83923238" </w:instrText>
      </w:r>
      <w:r>
        <w:fldChar w:fldCharType="separate"/>
      </w:r>
      <w:r>
        <w:rPr>
          <w:rStyle w:val="27"/>
          <w:rFonts w:eastAsia="宋体"/>
        </w:rPr>
        <w:t>Proposal 8:</w:t>
      </w:r>
      <w:r>
        <w:rPr>
          <w:rFonts w:asciiTheme="minorHAnsi" w:hAnsiTheme="minorHAnsi" w:cstheme="minorBidi"/>
          <w:b w:val="0"/>
          <w:i w:val="0"/>
          <w:sz w:val="21"/>
          <w:szCs w:val="22"/>
        </w:rPr>
        <w:tab/>
      </w:r>
      <w:r>
        <w:rPr>
          <w:rStyle w:val="27"/>
        </w:rPr>
        <w:t xml:space="preserve">Legacy UE to UE CLI procedure can be reused for MT to MT CLI </w:t>
      </w:r>
      <w:r>
        <w:rPr>
          <w:rStyle w:val="27"/>
          <w:rFonts w:eastAsia="Calibri"/>
        </w:rPr>
        <w:t>measurement and report</w:t>
      </w:r>
      <w:r>
        <w:rPr>
          <w:rStyle w:val="27"/>
        </w:rPr>
        <w:t>.</w:t>
      </w:r>
      <w:r>
        <w:rPr>
          <w:rStyle w:val="27"/>
        </w:rPr>
        <w:fldChar w:fldCharType="end"/>
      </w:r>
    </w:p>
    <w:p>
      <w:pPr>
        <w:pStyle w:val="16"/>
        <w:widowControl w:val="0"/>
        <w:tabs>
          <w:tab w:val="right" w:pos="9660"/>
        </w:tabs>
        <w:spacing w:before="120" w:after="120"/>
        <w:rPr>
          <w:rFonts w:cs="Times"/>
          <w:bCs/>
          <w:iCs/>
          <w:color w:val="000000"/>
        </w:rPr>
      </w:pPr>
      <w:r>
        <w:fldChar w:fldCharType="end"/>
      </w:r>
    </w:p>
    <w:p>
      <w:pPr>
        <w:pStyle w:val="2"/>
        <w:keepNext w:val="0"/>
        <w:keepLines w:val="0"/>
        <w:widowControl w:val="0"/>
        <w:spacing w:before="120" w:after="120"/>
        <w:ind w:left="0"/>
        <w:rPr>
          <w:rFonts w:eastAsia="宋体"/>
        </w:rPr>
      </w:pPr>
      <w:r>
        <w:rPr>
          <w:rFonts w:hint="eastAsia" w:eastAsia="宋体"/>
        </w:rPr>
        <w:t>Reference</w:t>
      </w:r>
      <w:r>
        <w:rPr>
          <w:rFonts w:eastAsia="宋体"/>
        </w:rPr>
        <w:t>s</w:t>
      </w:r>
    </w:p>
    <w:p>
      <w:pPr>
        <w:pStyle w:val="33"/>
        <w:widowControl w:val="0"/>
        <w:spacing w:before="120" w:after="120"/>
        <w:ind w:left="0" w:firstLine="0"/>
        <w:rPr>
          <w:sz w:val="20"/>
          <w:szCs w:val="20"/>
        </w:rPr>
      </w:pPr>
      <w:bookmarkStart w:id="45" w:name="_Ref17466"/>
      <w:bookmarkStart w:id="46" w:name="_Ref16505925"/>
      <w:bookmarkStart w:id="47" w:name="_Ref6480"/>
      <w:r>
        <w:rPr>
          <w:rFonts w:hint="eastAsia"/>
          <w:bCs/>
          <w:sz w:val="20"/>
          <w:szCs w:val="20"/>
        </w:rPr>
        <w:t>Chairman's Notes RAN1#106-e final</w:t>
      </w:r>
      <w:bookmarkEnd w:id="45"/>
      <w:bookmarkEnd w:id="46"/>
      <w:bookmarkEnd w:id="47"/>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34744"/>
    </w:sdtPr>
    <w:sdtContent>
      <w:p>
        <w:pPr>
          <w:pStyle w:val="14"/>
          <w:spacing w:before="120" w:after="120"/>
          <w:jc w:val="center"/>
        </w:pPr>
        <w:r>
          <w:fldChar w:fldCharType="begin"/>
        </w:r>
        <w:r>
          <w:instrText xml:space="preserve"> PAGE   \* MERGEFORMAT </w:instrText>
        </w:r>
        <w:r>
          <w:fldChar w:fldCharType="separate"/>
        </w:r>
        <w:r>
          <w:t>6</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3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1"/>
      <w:lvlText w:val="•"/>
      <w:lvlJc w:val="left"/>
      <w:pPr>
        <w:tabs>
          <w:tab w:val="left" w:pos="2067"/>
        </w:tabs>
        <w:ind w:left="168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5E613EC"/>
    <w:multiLevelType w:val="multilevel"/>
    <w:tmpl w:val="25E613EC"/>
    <w:lvl w:ilvl="0" w:tentative="0">
      <w:start w:val="0"/>
      <w:numFmt w:val="bullet"/>
      <w:lvlText w:val="-"/>
      <w:lvlJc w:val="left"/>
      <w:pPr>
        <w:ind w:left="720" w:hanging="360"/>
      </w:pPr>
      <w:rPr>
        <w:rFonts w:hint="default" w:ascii="Calibri" w:hAnsi="Calibri" w:eastAsia="MS PGothic" w:cs="Calibri"/>
        <w:b/>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2CE4101"/>
    <w:multiLevelType w:val="multilevel"/>
    <w:tmpl w:val="32CE4101"/>
    <w:lvl w:ilvl="0" w:tentative="0">
      <w:start w:val="1"/>
      <w:numFmt w:val="bullet"/>
      <w:lvlText w:val=""/>
      <w:lvlJc w:val="left"/>
      <w:pPr>
        <w:ind w:left="720" w:hanging="360"/>
      </w:pPr>
      <w:rPr>
        <w:rFonts w:hint="default" w:ascii="Symbol" w:hAnsi="Symbol" w:cs="Symbol"/>
        <w:sz w:val="2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372AA324"/>
    <w:multiLevelType w:val="multilevel"/>
    <w:tmpl w:val="372AA324"/>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43FCA2C8"/>
    <w:multiLevelType w:val="singleLevel"/>
    <w:tmpl w:val="43FCA2C8"/>
    <w:lvl w:ilvl="0" w:tentative="0">
      <w:start w:val="1"/>
      <w:numFmt w:val="lowerRoman"/>
      <w:pStyle w:val="38"/>
      <w:lvlText w:val="%1"/>
      <w:lvlJc w:val="left"/>
      <w:pPr>
        <w:tabs>
          <w:tab w:val="left" w:pos="807"/>
        </w:tabs>
        <w:ind w:left="420" w:firstLine="0"/>
      </w:pPr>
      <w:rPr>
        <w:rFonts w:hint="default" w:ascii="Times New Roman" w:hAnsi="Times New Roman" w:eastAsia="宋体" w:cs="Times New Roman"/>
        <w:i/>
        <w:iCs/>
      </w:rPr>
    </w:lvl>
  </w:abstractNum>
  <w:abstractNum w:abstractNumId="9">
    <w:nsid w:val="4B9F55BB"/>
    <w:multiLevelType w:val="multilevel"/>
    <w:tmpl w:val="4B9F55B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b/>
        <w:sz w:val="20"/>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58951E84"/>
    <w:multiLevelType w:val="multilevel"/>
    <w:tmpl w:val="58951E8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b/>
        <w:sz w:val="20"/>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1">
    <w:nsid w:val="7C313F1E"/>
    <w:multiLevelType w:val="multilevel"/>
    <w:tmpl w:val="7C313F1E"/>
    <w:lvl w:ilvl="0" w:tentative="0">
      <w:start w:val="0"/>
      <w:numFmt w:val="bullet"/>
      <w:lvlText w:val="-"/>
      <w:lvlJc w:val="left"/>
      <w:pPr>
        <w:ind w:left="720" w:hanging="360"/>
      </w:pPr>
      <w:rPr>
        <w:rFonts w:hint="default" w:ascii="Calibri" w:hAnsi="Calibri" w:eastAsia="MS PGothic" w:cs="Calibri"/>
        <w:b/>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4"/>
  </w:num>
  <w:num w:numId="4">
    <w:abstractNumId w:val="1"/>
  </w:num>
  <w:num w:numId="5">
    <w:abstractNumId w:val="7"/>
  </w:num>
  <w:num w:numId="6">
    <w:abstractNumId w:val="0"/>
  </w:num>
  <w:num w:numId="7">
    <w:abstractNumId w:val="8"/>
  </w:num>
  <w:num w:numId="8">
    <w:abstractNumId w:val="10"/>
  </w:num>
  <w:num w:numId="9">
    <w:abstractNumId w:val="9"/>
  </w:num>
  <w:num w:numId="10">
    <w:abstractNumId w:val="3"/>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54E2"/>
    <w:rsid w:val="0006075B"/>
    <w:rsid w:val="000731D9"/>
    <w:rsid w:val="00083DDB"/>
    <w:rsid w:val="000960A5"/>
    <w:rsid w:val="000A2EE5"/>
    <w:rsid w:val="000C1902"/>
    <w:rsid w:val="000C23F8"/>
    <w:rsid w:val="000D05AA"/>
    <w:rsid w:val="000E7CD3"/>
    <w:rsid w:val="00102A6F"/>
    <w:rsid w:val="00110FFC"/>
    <w:rsid w:val="00141144"/>
    <w:rsid w:val="00166068"/>
    <w:rsid w:val="00167D1E"/>
    <w:rsid w:val="00172A27"/>
    <w:rsid w:val="00175FEC"/>
    <w:rsid w:val="00220CC6"/>
    <w:rsid w:val="0022267B"/>
    <w:rsid w:val="00281B0F"/>
    <w:rsid w:val="00293416"/>
    <w:rsid w:val="00293A8C"/>
    <w:rsid w:val="0029664F"/>
    <w:rsid w:val="00297B77"/>
    <w:rsid w:val="002A0BF2"/>
    <w:rsid w:val="002C59CF"/>
    <w:rsid w:val="002E444A"/>
    <w:rsid w:val="002F3A23"/>
    <w:rsid w:val="002F456D"/>
    <w:rsid w:val="0031325A"/>
    <w:rsid w:val="003241EE"/>
    <w:rsid w:val="00333ED2"/>
    <w:rsid w:val="00334292"/>
    <w:rsid w:val="00376C34"/>
    <w:rsid w:val="00384F99"/>
    <w:rsid w:val="00395697"/>
    <w:rsid w:val="003A1203"/>
    <w:rsid w:val="003E6CCE"/>
    <w:rsid w:val="0040257E"/>
    <w:rsid w:val="00404FF0"/>
    <w:rsid w:val="00405665"/>
    <w:rsid w:val="00433B93"/>
    <w:rsid w:val="00435878"/>
    <w:rsid w:val="00441CD9"/>
    <w:rsid w:val="004A5900"/>
    <w:rsid w:val="004C0DBD"/>
    <w:rsid w:val="004C4675"/>
    <w:rsid w:val="004F2D29"/>
    <w:rsid w:val="004F6201"/>
    <w:rsid w:val="0051732E"/>
    <w:rsid w:val="00526188"/>
    <w:rsid w:val="005265A6"/>
    <w:rsid w:val="00565559"/>
    <w:rsid w:val="005B065E"/>
    <w:rsid w:val="005F492B"/>
    <w:rsid w:val="006369E0"/>
    <w:rsid w:val="0064354B"/>
    <w:rsid w:val="006522AC"/>
    <w:rsid w:val="006627DA"/>
    <w:rsid w:val="0066322D"/>
    <w:rsid w:val="006636C0"/>
    <w:rsid w:val="006757F1"/>
    <w:rsid w:val="006921E5"/>
    <w:rsid w:val="0069512F"/>
    <w:rsid w:val="00695650"/>
    <w:rsid w:val="00697EBB"/>
    <w:rsid w:val="006B4DFD"/>
    <w:rsid w:val="006C756C"/>
    <w:rsid w:val="0070284D"/>
    <w:rsid w:val="00713F21"/>
    <w:rsid w:val="00725A62"/>
    <w:rsid w:val="00726BCF"/>
    <w:rsid w:val="00732F33"/>
    <w:rsid w:val="00733AB8"/>
    <w:rsid w:val="00740B89"/>
    <w:rsid w:val="007564FE"/>
    <w:rsid w:val="00761B1D"/>
    <w:rsid w:val="0077184F"/>
    <w:rsid w:val="007761FD"/>
    <w:rsid w:val="007B39E8"/>
    <w:rsid w:val="007B51B3"/>
    <w:rsid w:val="007C1124"/>
    <w:rsid w:val="007E5750"/>
    <w:rsid w:val="00823F23"/>
    <w:rsid w:val="00837885"/>
    <w:rsid w:val="00841B19"/>
    <w:rsid w:val="00883484"/>
    <w:rsid w:val="008F6930"/>
    <w:rsid w:val="0090458B"/>
    <w:rsid w:val="00935B63"/>
    <w:rsid w:val="00936426"/>
    <w:rsid w:val="00955583"/>
    <w:rsid w:val="0096044C"/>
    <w:rsid w:val="009904A9"/>
    <w:rsid w:val="0099160A"/>
    <w:rsid w:val="00996F89"/>
    <w:rsid w:val="009C6D56"/>
    <w:rsid w:val="009E3245"/>
    <w:rsid w:val="009E7529"/>
    <w:rsid w:val="009F3678"/>
    <w:rsid w:val="009F7489"/>
    <w:rsid w:val="00A163E3"/>
    <w:rsid w:val="00A521CA"/>
    <w:rsid w:val="00AC03D1"/>
    <w:rsid w:val="00AD7DD2"/>
    <w:rsid w:val="00B04112"/>
    <w:rsid w:val="00B140E4"/>
    <w:rsid w:val="00B22688"/>
    <w:rsid w:val="00B27ADE"/>
    <w:rsid w:val="00B5700F"/>
    <w:rsid w:val="00B6123B"/>
    <w:rsid w:val="00B6403D"/>
    <w:rsid w:val="00B646BE"/>
    <w:rsid w:val="00B64D3A"/>
    <w:rsid w:val="00B675A2"/>
    <w:rsid w:val="00B75F9E"/>
    <w:rsid w:val="00B81A17"/>
    <w:rsid w:val="00B82A09"/>
    <w:rsid w:val="00B82BEF"/>
    <w:rsid w:val="00B9727F"/>
    <w:rsid w:val="00BB18E5"/>
    <w:rsid w:val="00BB423E"/>
    <w:rsid w:val="00BE204A"/>
    <w:rsid w:val="00C06B18"/>
    <w:rsid w:val="00C06BA2"/>
    <w:rsid w:val="00C229E2"/>
    <w:rsid w:val="00C5250B"/>
    <w:rsid w:val="00C551A0"/>
    <w:rsid w:val="00C67E62"/>
    <w:rsid w:val="00C97A84"/>
    <w:rsid w:val="00CA2622"/>
    <w:rsid w:val="00CA43AD"/>
    <w:rsid w:val="00CB2546"/>
    <w:rsid w:val="00CB3383"/>
    <w:rsid w:val="00CC354F"/>
    <w:rsid w:val="00CD3BAB"/>
    <w:rsid w:val="00CE007D"/>
    <w:rsid w:val="00CF5B3A"/>
    <w:rsid w:val="00CF5CB2"/>
    <w:rsid w:val="00CF7BB0"/>
    <w:rsid w:val="00D32540"/>
    <w:rsid w:val="00D44026"/>
    <w:rsid w:val="00D64D14"/>
    <w:rsid w:val="00D659E8"/>
    <w:rsid w:val="00D70E67"/>
    <w:rsid w:val="00D83922"/>
    <w:rsid w:val="00DC658B"/>
    <w:rsid w:val="00DD1281"/>
    <w:rsid w:val="00DD4D05"/>
    <w:rsid w:val="00DE1BC7"/>
    <w:rsid w:val="00DE3ABE"/>
    <w:rsid w:val="00DE6A76"/>
    <w:rsid w:val="00E22262"/>
    <w:rsid w:val="00E34B89"/>
    <w:rsid w:val="00E36661"/>
    <w:rsid w:val="00E7658A"/>
    <w:rsid w:val="00E865D3"/>
    <w:rsid w:val="00E8734D"/>
    <w:rsid w:val="00EA36FC"/>
    <w:rsid w:val="00EC0971"/>
    <w:rsid w:val="00EC171F"/>
    <w:rsid w:val="00EC3177"/>
    <w:rsid w:val="00EE1459"/>
    <w:rsid w:val="00EE508E"/>
    <w:rsid w:val="00EF52B5"/>
    <w:rsid w:val="00F063F3"/>
    <w:rsid w:val="00F15363"/>
    <w:rsid w:val="00F24E71"/>
    <w:rsid w:val="00F447C8"/>
    <w:rsid w:val="00F461EF"/>
    <w:rsid w:val="00F823B1"/>
    <w:rsid w:val="00F978F9"/>
    <w:rsid w:val="00FA0A08"/>
    <w:rsid w:val="00FA7AB4"/>
    <w:rsid w:val="00FB3F4B"/>
    <w:rsid w:val="00FC03CC"/>
    <w:rsid w:val="00FC5E14"/>
    <w:rsid w:val="00FD2DE4"/>
    <w:rsid w:val="00FE4F57"/>
    <w:rsid w:val="01167A89"/>
    <w:rsid w:val="01404736"/>
    <w:rsid w:val="014404CF"/>
    <w:rsid w:val="015702F1"/>
    <w:rsid w:val="015B20BD"/>
    <w:rsid w:val="01764F01"/>
    <w:rsid w:val="018360AE"/>
    <w:rsid w:val="02212D7E"/>
    <w:rsid w:val="024D6B6A"/>
    <w:rsid w:val="02553352"/>
    <w:rsid w:val="029B04E7"/>
    <w:rsid w:val="02AD7079"/>
    <w:rsid w:val="02C202A0"/>
    <w:rsid w:val="02F008EC"/>
    <w:rsid w:val="03073BDC"/>
    <w:rsid w:val="033451DB"/>
    <w:rsid w:val="033F44DC"/>
    <w:rsid w:val="03465C1F"/>
    <w:rsid w:val="036B3CA6"/>
    <w:rsid w:val="037034E6"/>
    <w:rsid w:val="03853D24"/>
    <w:rsid w:val="038D1BC3"/>
    <w:rsid w:val="039F284D"/>
    <w:rsid w:val="03DB0701"/>
    <w:rsid w:val="03FA05E4"/>
    <w:rsid w:val="041D69DB"/>
    <w:rsid w:val="0438784A"/>
    <w:rsid w:val="04711194"/>
    <w:rsid w:val="04787413"/>
    <w:rsid w:val="04820E4D"/>
    <w:rsid w:val="0482236C"/>
    <w:rsid w:val="04824ADC"/>
    <w:rsid w:val="048A693F"/>
    <w:rsid w:val="049820AC"/>
    <w:rsid w:val="04A34C49"/>
    <w:rsid w:val="04B977FE"/>
    <w:rsid w:val="04C27429"/>
    <w:rsid w:val="04D9100A"/>
    <w:rsid w:val="04F43DBC"/>
    <w:rsid w:val="051D2186"/>
    <w:rsid w:val="0555228E"/>
    <w:rsid w:val="055822D8"/>
    <w:rsid w:val="058430D7"/>
    <w:rsid w:val="059D1E39"/>
    <w:rsid w:val="05E078B3"/>
    <w:rsid w:val="061A6A42"/>
    <w:rsid w:val="061E3658"/>
    <w:rsid w:val="06234011"/>
    <w:rsid w:val="06247A1E"/>
    <w:rsid w:val="065D038F"/>
    <w:rsid w:val="06684262"/>
    <w:rsid w:val="067342DE"/>
    <w:rsid w:val="069635DB"/>
    <w:rsid w:val="06B2024B"/>
    <w:rsid w:val="06B94F09"/>
    <w:rsid w:val="06DF203C"/>
    <w:rsid w:val="06EA48EC"/>
    <w:rsid w:val="070061BC"/>
    <w:rsid w:val="07194833"/>
    <w:rsid w:val="07421FE8"/>
    <w:rsid w:val="07637E02"/>
    <w:rsid w:val="076A7F7D"/>
    <w:rsid w:val="077D0583"/>
    <w:rsid w:val="079724D0"/>
    <w:rsid w:val="082A352F"/>
    <w:rsid w:val="08A27A6D"/>
    <w:rsid w:val="08A33A9E"/>
    <w:rsid w:val="08C02A08"/>
    <w:rsid w:val="08C349D1"/>
    <w:rsid w:val="08DD3637"/>
    <w:rsid w:val="08F04726"/>
    <w:rsid w:val="0965064C"/>
    <w:rsid w:val="0965483E"/>
    <w:rsid w:val="0976492C"/>
    <w:rsid w:val="09961B0B"/>
    <w:rsid w:val="09997194"/>
    <w:rsid w:val="09AF099C"/>
    <w:rsid w:val="09F67CD5"/>
    <w:rsid w:val="0A203D4A"/>
    <w:rsid w:val="0A314C21"/>
    <w:rsid w:val="0A3E579E"/>
    <w:rsid w:val="0A8B18E1"/>
    <w:rsid w:val="0ACF283D"/>
    <w:rsid w:val="0ACF5168"/>
    <w:rsid w:val="0AE23704"/>
    <w:rsid w:val="0B25121C"/>
    <w:rsid w:val="0B3B302F"/>
    <w:rsid w:val="0B616C98"/>
    <w:rsid w:val="0B6B53D6"/>
    <w:rsid w:val="0B8E19CD"/>
    <w:rsid w:val="0B9E71DF"/>
    <w:rsid w:val="0BBA4E15"/>
    <w:rsid w:val="0BE57191"/>
    <w:rsid w:val="0C6450EC"/>
    <w:rsid w:val="0C89227F"/>
    <w:rsid w:val="0C9D30C2"/>
    <w:rsid w:val="0CDD5E22"/>
    <w:rsid w:val="0CE432A0"/>
    <w:rsid w:val="0CEC3335"/>
    <w:rsid w:val="0D1220E5"/>
    <w:rsid w:val="0D5D45DA"/>
    <w:rsid w:val="0D772C9C"/>
    <w:rsid w:val="0D91205B"/>
    <w:rsid w:val="0DFA55ED"/>
    <w:rsid w:val="0E0B3698"/>
    <w:rsid w:val="0E171354"/>
    <w:rsid w:val="0E172BD0"/>
    <w:rsid w:val="0E2E3A68"/>
    <w:rsid w:val="0E454BC8"/>
    <w:rsid w:val="0E6122BF"/>
    <w:rsid w:val="0E6E1973"/>
    <w:rsid w:val="0E8F5401"/>
    <w:rsid w:val="0EFF5C2D"/>
    <w:rsid w:val="0F143BD2"/>
    <w:rsid w:val="0F1B6F0A"/>
    <w:rsid w:val="0F5B70B3"/>
    <w:rsid w:val="0FD74648"/>
    <w:rsid w:val="0FFD3646"/>
    <w:rsid w:val="1003196A"/>
    <w:rsid w:val="100D1BF3"/>
    <w:rsid w:val="101173BB"/>
    <w:rsid w:val="101D4DE6"/>
    <w:rsid w:val="108746DE"/>
    <w:rsid w:val="109F3465"/>
    <w:rsid w:val="10A50104"/>
    <w:rsid w:val="10AD1CC0"/>
    <w:rsid w:val="10DA1818"/>
    <w:rsid w:val="10E348C8"/>
    <w:rsid w:val="10EB3B6B"/>
    <w:rsid w:val="111C561E"/>
    <w:rsid w:val="114B0B48"/>
    <w:rsid w:val="114B6B88"/>
    <w:rsid w:val="115A2545"/>
    <w:rsid w:val="119778DE"/>
    <w:rsid w:val="119D7849"/>
    <w:rsid w:val="11B87794"/>
    <w:rsid w:val="11BE1819"/>
    <w:rsid w:val="120103B9"/>
    <w:rsid w:val="1242135C"/>
    <w:rsid w:val="125B6C47"/>
    <w:rsid w:val="126E119D"/>
    <w:rsid w:val="12775CDF"/>
    <w:rsid w:val="12A06BC5"/>
    <w:rsid w:val="12B73F6B"/>
    <w:rsid w:val="12F334CF"/>
    <w:rsid w:val="130E7E01"/>
    <w:rsid w:val="131310C0"/>
    <w:rsid w:val="131C1976"/>
    <w:rsid w:val="136B5A39"/>
    <w:rsid w:val="13A1683F"/>
    <w:rsid w:val="13A76A52"/>
    <w:rsid w:val="13B062B7"/>
    <w:rsid w:val="13D6227C"/>
    <w:rsid w:val="13DB3C06"/>
    <w:rsid w:val="147418D7"/>
    <w:rsid w:val="148C3A7E"/>
    <w:rsid w:val="149F0C6E"/>
    <w:rsid w:val="14A43302"/>
    <w:rsid w:val="14C14A1F"/>
    <w:rsid w:val="14C853CE"/>
    <w:rsid w:val="14CC0A51"/>
    <w:rsid w:val="14DA3DA1"/>
    <w:rsid w:val="14EE1EBB"/>
    <w:rsid w:val="14F66467"/>
    <w:rsid w:val="150D1100"/>
    <w:rsid w:val="151B2D20"/>
    <w:rsid w:val="158B08C6"/>
    <w:rsid w:val="15AD415D"/>
    <w:rsid w:val="15CC53EE"/>
    <w:rsid w:val="15E36905"/>
    <w:rsid w:val="15F1581D"/>
    <w:rsid w:val="15F6644B"/>
    <w:rsid w:val="16161AEC"/>
    <w:rsid w:val="16205E6F"/>
    <w:rsid w:val="16513AEF"/>
    <w:rsid w:val="166F1824"/>
    <w:rsid w:val="166F2AF2"/>
    <w:rsid w:val="168613A6"/>
    <w:rsid w:val="169F6619"/>
    <w:rsid w:val="16C32E27"/>
    <w:rsid w:val="17155857"/>
    <w:rsid w:val="175119F3"/>
    <w:rsid w:val="17674FC6"/>
    <w:rsid w:val="17950508"/>
    <w:rsid w:val="17CC176B"/>
    <w:rsid w:val="17D54472"/>
    <w:rsid w:val="181865FE"/>
    <w:rsid w:val="186A13AB"/>
    <w:rsid w:val="187775FB"/>
    <w:rsid w:val="1894213E"/>
    <w:rsid w:val="189D47FD"/>
    <w:rsid w:val="18B230E0"/>
    <w:rsid w:val="18B66FB8"/>
    <w:rsid w:val="18F15198"/>
    <w:rsid w:val="18FC2F51"/>
    <w:rsid w:val="19010C43"/>
    <w:rsid w:val="19084C73"/>
    <w:rsid w:val="19200C2D"/>
    <w:rsid w:val="1A054259"/>
    <w:rsid w:val="1A0D7F96"/>
    <w:rsid w:val="1A120BC8"/>
    <w:rsid w:val="1A2E0961"/>
    <w:rsid w:val="1A465517"/>
    <w:rsid w:val="1A5B5C38"/>
    <w:rsid w:val="1A6636EF"/>
    <w:rsid w:val="1AE40062"/>
    <w:rsid w:val="1AED7764"/>
    <w:rsid w:val="1B1337D4"/>
    <w:rsid w:val="1B3C1E7E"/>
    <w:rsid w:val="1B7F6005"/>
    <w:rsid w:val="1B804965"/>
    <w:rsid w:val="1BCE1DFD"/>
    <w:rsid w:val="1BDA119C"/>
    <w:rsid w:val="1BE941EE"/>
    <w:rsid w:val="1BEB4414"/>
    <w:rsid w:val="1BF421D5"/>
    <w:rsid w:val="1C132CB9"/>
    <w:rsid w:val="1C236F79"/>
    <w:rsid w:val="1C9E1905"/>
    <w:rsid w:val="1CAB67AC"/>
    <w:rsid w:val="1CC27823"/>
    <w:rsid w:val="1CC55E56"/>
    <w:rsid w:val="1CCC26CA"/>
    <w:rsid w:val="1D183D7C"/>
    <w:rsid w:val="1D6860B0"/>
    <w:rsid w:val="1D731830"/>
    <w:rsid w:val="1D736D6E"/>
    <w:rsid w:val="1D824FCB"/>
    <w:rsid w:val="1DA15259"/>
    <w:rsid w:val="1DA2248D"/>
    <w:rsid w:val="1DDC5C5B"/>
    <w:rsid w:val="1DED6FF3"/>
    <w:rsid w:val="1DEF202A"/>
    <w:rsid w:val="1E155F21"/>
    <w:rsid w:val="1E213CAA"/>
    <w:rsid w:val="1E502C64"/>
    <w:rsid w:val="1E545DBD"/>
    <w:rsid w:val="1E664B2D"/>
    <w:rsid w:val="1E9D6342"/>
    <w:rsid w:val="1F150373"/>
    <w:rsid w:val="1F440BFE"/>
    <w:rsid w:val="1F5C017E"/>
    <w:rsid w:val="1F617EDA"/>
    <w:rsid w:val="1F723122"/>
    <w:rsid w:val="1F7479F8"/>
    <w:rsid w:val="1F962CAB"/>
    <w:rsid w:val="1FB754AD"/>
    <w:rsid w:val="1FC8058A"/>
    <w:rsid w:val="1FE11599"/>
    <w:rsid w:val="1FF51A13"/>
    <w:rsid w:val="202903CC"/>
    <w:rsid w:val="202A4795"/>
    <w:rsid w:val="20495BD8"/>
    <w:rsid w:val="204E6676"/>
    <w:rsid w:val="206267C3"/>
    <w:rsid w:val="206E2004"/>
    <w:rsid w:val="20712797"/>
    <w:rsid w:val="20CB6FE0"/>
    <w:rsid w:val="20E97E27"/>
    <w:rsid w:val="210917D8"/>
    <w:rsid w:val="21107D42"/>
    <w:rsid w:val="211941B9"/>
    <w:rsid w:val="211A0695"/>
    <w:rsid w:val="211B1392"/>
    <w:rsid w:val="214833CD"/>
    <w:rsid w:val="216406C3"/>
    <w:rsid w:val="218E7C86"/>
    <w:rsid w:val="2195668B"/>
    <w:rsid w:val="21A649DD"/>
    <w:rsid w:val="21BE5AD4"/>
    <w:rsid w:val="21C2279E"/>
    <w:rsid w:val="21C90F74"/>
    <w:rsid w:val="21EC1042"/>
    <w:rsid w:val="220B039B"/>
    <w:rsid w:val="22213006"/>
    <w:rsid w:val="222C5C9C"/>
    <w:rsid w:val="228E502C"/>
    <w:rsid w:val="23082245"/>
    <w:rsid w:val="231D0823"/>
    <w:rsid w:val="23523D5B"/>
    <w:rsid w:val="236847C5"/>
    <w:rsid w:val="23733000"/>
    <w:rsid w:val="237E4558"/>
    <w:rsid w:val="23A30984"/>
    <w:rsid w:val="23B71DF0"/>
    <w:rsid w:val="23CC7904"/>
    <w:rsid w:val="23DA1E98"/>
    <w:rsid w:val="240C71C8"/>
    <w:rsid w:val="242278E1"/>
    <w:rsid w:val="245C52F8"/>
    <w:rsid w:val="2463385E"/>
    <w:rsid w:val="246A7BE0"/>
    <w:rsid w:val="249322E8"/>
    <w:rsid w:val="24944B36"/>
    <w:rsid w:val="24D77AFB"/>
    <w:rsid w:val="24E702E9"/>
    <w:rsid w:val="24F4325B"/>
    <w:rsid w:val="24FE25BF"/>
    <w:rsid w:val="2508650D"/>
    <w:rsid w:val="25134332"/>
    <w:rsid w:val="253D6D3A"/>
    <w:rsid w:val="255118C9"/>
    <w:rsid w:val="256307F9"/>
    <w:rsid w:val="25722255"/>
    <w:rsid w:val="257E508F"/>
    <w:rsid w:val="25A41814"/>
    <w:rsid w:val="25C00748"/>
    <w:rsid w:val="25E845D3"/>
    <w:rsid w:val="26421C49"/>
    <w:rsid w:val="2653091D"/>
    <w:rsid w:val="2698089E"/>
    <w:rsid w:val="26A168EB"/>
    <w:rsid w:val="26AA670E"/>
    <w:rsid w:val="274C01EB"/>
    <w:rsid w:val="27AB7429"/>
    <w:rsid w:val="27F85BF5"/>
    <w:rsid w:val="28006673"/>
    <w:rsid w:val="28311F29"/>
    <w:rsid w:val="28444ED4"/>
    <w:rsid w:val="284C3E91"/>
    <w:rsid w:val="285C053E"/>
    <w:rsid w:val="28663D87"/>
    <w:rsid w:val="2877524C"/>
    <w:rsid w:val="28911DA4"/>
    <w:rsid w:val="28C50C50"/>
    <w:rsid w:val="28D246D4"/>
    <w:rsid w:val="291721B0"/>
    <w:rsid w:val="29741FCB"/>
    <w:rsid w:val="297D3B9A"/>
    <w:rsid w:val="29FA7F26"/>
    <w:rsid w:val="2A115137"/>
    <w:rsid w:val="2A4E36C4"/>
    <w:rsid w:val="2A700E2D"/>
    <w:rsid w:val="2A8238B0"/>
    <w:rsid w:val="2A834EF2"/>
    <w:rsid w:val="2A9E3A9C"/>
    <w:rsid w:val="2ADA0B64"/>
    <w:rsid w:val="2B5D3F6B"/>
    <w:rsid w:val="2B5E3436"/>
    <w:rsid w:val="2B5E5CF1"/>
    <w:rsid w:val="2B76388B"/>
    <w:rsid w:val="2B774832"/>
    <w:rsid w:val="2BA97DE5"/>
    <w:rsid w:val="2BAA3A2F"/>
    <w:rsid w:val="2BAF5B74"/>
    <w:rsid w:val="2C6A3FA8"/>
    <w:rsid w:val="2CB47BAD"/>
    <w:rsid w:val="2CC16BCB"/>
    <w:rsid w:val="2D155C2B"/>
    <w:rsid w:val="2D251DB1"/>
    <w:rsid w:val="2D5B4DC4"/>
    <w:rsid w:val="2D6A12F9"/>
    <w:rsid w:val="2D8838AD"/>
    <w:rsid w:val="2DA952C6"/>
    <w:rsid w:val="2DC56BFE"/>
    <w:rsid w:val="2DEB0B4E"/>
    <w:rsid w:val="2DFE122C"/>
    <w:rsid w:val="2E117BC6"/>
    <w:rsid w:val="2E15280E"/>
    <w:rsid w:val="2E7100FC"/>
    <w:rsid w:val="2E9F0C6A"/>
    <w:rsid w:val="2EBC6AE0"/>
    <w:rsid w:val="2EED66B0"/>
    <w:rsid w:val="2EF11654"/>
    <w:rsid w:val="2F071864"/>
    <w:rsid w:val="2F1251F2"/>
    <w:rsid w:val="2F226943"/>
    <w:rsid w:val="2F346EC9"/>
    <w:rsid w:val="2F3D7519"/>
    <w:rsid w:val="2F48200A"/>
    <w:rsid w:val="2F950717"/>
    <w:rsid w:val="2FD53607"/>
    <w:rsid w:val="30064A38"/>
    <w:rsid w:val="300A73E1"/>
    <w:rsid w:val="306169EA"/>
    <w:rsid w:val="30962F3E"/>
    <w:rsid w:val="30B466C4"/>
    <w:rsid w:val="30D17E68"/>
    <w:rsid w:val="30E91386"/>
    <w:rsid w:val="30FF2795"/>
    <w:rsid w:val="31136AEE"/>
    <w:rsid w:val="31450C06"/>
    <w:rsid w:val="3150693A"/>
    <w:rsid w:val="315660F9"/>
    <w:rsid w:val="319506B4"/>
    <w:rsid w:val="31CE35AD"/>
    <w:rsid w:val="31CE3783"/>
    <w:rsid w:val="31EF29F9"/>
    <w:rsid w:val="322F39C7"/>
    <w:rsid w:val="323C475C"/>
    <w:rsid w:val="324F5D1C"/>
    <w:rsid w:val="32604016"/>
    <w:rsid w:val="327527C6"/>
    <w:rsid w:val="32797DA2"/>
    <w:rsid w:val="328C47B2"/>
    <w:rsid w:val="329A6ACE"/>
    <w:rsid w:val="32A666CF"/>
    <w:rsid w:val="32C96B57"/>
    <w:rsid w:val="3306388C"/>
    <w:rsid w:val="3324726E"/>
    <w:rsid w:val="335B6F56"/>
    <w:rsid w:val="337C7B66"/>
    <w:rsid w:val="33A25EA9"/>
    <w:rsid w:val="33B67537"/>
    <w:rsid w:val="33BD3D7F"/>
    <w:rsid w:val="33D863F7"/>
    <w:rsid w:val="33D9437A"/>
    <w:rsid w:val="34154AEE"/>
    <w:rsid w:val="3432561D"/>
    <w:rsid w:val="34A3771F"/>
    <w:rsid w:val="34A60427"/>
    <w:rsid w:val="34AF1772"/>
    <w:rsid w:val="34CE3671"/>
    <w:rsid w:val="34DA63AE"/>
    <w:rsid w:val="34FE3479"/>
    <w:rsid w:val="35066D51"/>
    <w:rsid w:val="35141A17"/>
    <w:rsid w:val="35684571"/>
    <w:rsid w:val="35A6288A"/>
    <w:rsid w:val="35CB61D5"/>
    <w:rsid w:val="35E341B6"/>
    <w:rsid w:val="35E42057"/>
    <w:rsid w:val="35E528C4"/>
    <w:rsid w:val="360B1D73"/>
    <w:rsid w:val="361C270F"/>
    <w:rsid w:val="361F3323"/>
    <w:rsid w:val="362B1155"/>
    <w:rsid w:val="364112DA"/>
    <w:rsid w:val="36540497"/>
    <w:rsid w:val="36940D38"/>
    <w:rsid w:val="36A23857"/>
    <w:rsid w:val="36C5320A"/>
    <w:rsid w:val="36E93760"/>
    <w:rsid w:val="36FD4529"/>
    <w:rsid w:val="37060192"/>
    <w:rsid w:val="3784394E"/>
    <w:rsid w:val="380D1D0F"/>
    <w:rsid w:val="380D4100"/>
    <w:rsid w:val="3823721F"/>
    <w:rsid w:val="384F4D04"/>
    <w:rsid w:val="38AE3BB0"/>
    <w:rsid w:val="390B0E9D"/>
    <w:rsid w:val="392D11BE"/>
    <w:rsid w:val="394624B6"/>
    <w:rsid w:val="395947E7"/>
    <w:rsid w:val="39A43F87"/>
    <w:rsid w:val="39D56F32"/>
    <w:rsid w:val="39F84BA4"/>
    <w:rsid w:val="39FB23D4"/>
    <w:rsid w:val="3A7A4510"/>
    <w:rsid w:val="3A9F4EA0"/>
    <w:rsid w:val="3ACB5746"/>
    <w:rsid w:val="3ADB3F57"/>
    <w:rsid w:val="3B4345A5"/>
    <w:rsid w:val="3B4E3C4C"/>
    <w:rsid w:val="3B713396"/>
    <w:rsid w:val="3BB20883"/>
    <w:rsid w:val="3BB30E3E"/>
    <w:rsid w:val="3BC21207"/>
    <w:rsid w:val="3BE22473"/>
    <w:rsid w:val="3BE407A4"/>
    <w:rsid w:val="3C142E37"/>
    <w:rsid w:val="3C2A506F"/>
    <w:rsid w:val="3C3D7506"/>
    <w:rsid w:val="3C5263CC"/>
    <w:rsid w:val="3C543E70"/>
    <w:rsid w:val="3C5A4EA4"/>
    <w:rsid w:val="3C736E72"/>
    <w:rsid w:val="3C8B0B21"/>
    <w:rsid w:val="3CAF3C37"/>
    <w:rsid w:val="3CD303BB"/>
    <w:rsid w:val="3CE66150"/>
    <w:rsid w:val="3D0A233F"/>
    <w:rsid w:val="3D1E4653"/>
    <w:rsid w:val="3D23427B"/>
    <w:rsid w:val="3D361441"/>
    <w:rsid w:val="3D5A362B"/>
    <w:rsid w:val="3DDE19B0"/>
    <w:rsid w:val="3E2A3166"/>
    <w:rsid w:val="3E34539E"/>
    <w:rsid w:val="3E3B5572"/>
    <w:rsid w:val="3E441C7D"/>
    <w:rsid w:val="3E512EB8"/>
    <w:rsid w:val="3E6B774C"/>
    <w:rsid w:val="3E701975"/>
    <w:rsid w:val="3E8D582D"/>
    <w:rsid w:val="3EBA19A4"/>
    <w:rsid w:val="3EDA04D5"/>
    <w:rsid w:val="3F393434"/>
    <w:rsid w:val="3F5E11B9"/>
    <w:rsid w:val="3F66426C"/>
    <w:rsid w:val="3FBB6DA8"/>
    <w:rsid w:val="3FC956FF"/>
    <w:rsid w:val="3FEF0F46"/>
    <w:rsid w:val="3FFA7677"/>
    <w:rsid w:val="3FFB0539"/>
    <w:rsid w:val="40205795"/>
    <w:rsid w:val="405E097D"/>
    <w:rsid w:val="40856C25"/>
    <w:rsid w:val="40A36A71"/>
    <w:rsid w:val="40C650FF"/>
    <w:rsid w:val="40CF105F"/>
    <w:rsid w:val="4116656E"/>
    <w:rsid w:val="41412411"/>
    <w:rsid w:val="4177661A"/>
    <w:rsid w:val="41C82FD7"/>
    <w:rsid w:val="41D3631F"/>
    <w:rsid w:val="41F27C8D"/>
    <w:rsid w:val="41F466FD"/>
    <w:rsid w:val="42063A2E"/>
    <w:rsid w:val="42115E2E"/>
    <w:rsid w:val="421C3945"/>
    <w:rsid w:val="42280722"/>
    <w:rsid w:val="424859D9"/>
    <w:rsid w:val="424971C2"/>
    <w:rsid w:val="426B41A0"/>
    <w:rsid w:val="42773FB5"/>
    <w:rsid w:val="42812B39"/>
    <w:rsid w:val="429177A8"/>
    <w:rsid w:val="42A67A24"/>
    <w:rsid w:val="42B31897"/>
    <w:rsid w:val="42D17B6A"/>
    <w:rsid w:val="42D34D46"/>
    <w:rsid w:val="42D846B9"/>
    <w:rsid w:val="42DC0124"/>
    <w:rsid w:val="42EA7744"/>
    <w:rsid w:val="42F445F4"/>
    <w:rsid w:val="42F4675D"/>
    <w:rsid w:val="43694E57"/>
    <w:rsid w:val="438E2DA7"/>
    <w:rsid w:val="43DF2400"/>
    <w:rsid w:val="440D5045"/>
    <w:rsid w:val="44281E42"/>
    <w:rsid w:val="4448179D"/>
    <w:rsid w:val="44984AF4"/>
    <w:rsid w:val="44B13252"/>
    <w:rsid w:val="44BE19F7"/>
    <w:rsid w:val="450377D3"/>
    <w:rsid w:val="45111D41"/>
    <w:rsid w:val="451B5F92"/>
    <w:rsid w:val="451F6FA3"/>
    <w:rsid w:val="45202281"/>
    <w:rsid w:val="45625E40"/>
    <w:rsid w:val="4570254F"/>
    <w:rsid w:val="45825D50"/>
    <w:rsid w:val="45863103"/>
    <w:rsid w:val="459E4FC8"/>
    <w:rsid w:val="45B55022"/>
    <w:rsid w:val="45BE6191"/>
    <w:rsid w:val="45DD4FD0"/>
    <w:rsid w:val="45F94FAF"/>
    <w:rsid w:val="45FF2FC1"/>
    <w:rsid w:val="460C5979"/>
    <w:rsid w:val="4612464E"/>
    <w:rsid w:val="461E37DF"/>
    <w:rsid w:val="464F1A77"/>
    <w:rsid w:val="467E7709"/>
    <w:rsid w:val="46B01989"/>
    <w:rsid w:val="46E0765B"/>
    <w:rsid w:val="476077FF"/>
    <w:rsid w:val="47701E40"/>
    <w:rsid w:val="47862758"/>
    <w:rsid w:val="47974F72"/>
    <w:rsid w:val="479B1061"/>
    <w:rsid w:val="47A009AB"/>
    <w:rsid w:val="47BF1887"/>
    <w:rsid w:val="47C01792"/>
    <w:rsid w:val="47DE7D4E"/>
    <w:rsid w:val="480304B2"/>
    <w:rsid w:val="4808150F"/>
    <w:rsid w:val="482900D6"/>
    <w:rsid w:val="483069DE"/>
    <w:rsid w:val="485E0F99"/>
    <w:rsid w:val="489C5D93"/>
    <w:rsid w:val="48A73429"/>
    <w:rsid w:val="48DA0F1B"/>
    <w:rsid w:val="48E47B03"/>
    <w:rsid w:val="49632C10"/>
    <w:rsid w:val="498A04F2"/>
    <w:rsid w:val="499F19D0"/>
    <w:rsid w:val="49E9233D"/>
    <w:rsid w:val="4A0B4E23"/>
    <w:rsid w:val="4A1C6083"/>
    <w:rsid w:val="4A292E2A"/>
    <w:rsid w:val="4A3B68B3"/>
    <w:rsid w:val="4A8E3646"/>
    <w:rsid w:val="4AAD1944"/>
    <w:rsid w:val="4AB04721"/>
    <w:rsid w:val="4AB61820"/>
    <w:rsid w:val="4AC31003"/>
    <w:rsid w:val="4AC62B5E"/>
    <w:rsid w:val="4AE93159"/>
    <w:rsid w:val="4AED60FD"/>
    <w:rsid w:val="4AFE671F"/>
    <w:rsid w:val="4B234E40"/>
    <w:rsid w:val="4B347081"/>
    <w:rsid w:val="4B493729"/>
    <w:rsid w:val="4B517775"/>
    <w:rsid w:val="4BD0339A"/>
    <w:rsid w:val="4BE83640"/>
    <w:rsid w:val="4C0731C2"/>
    <w:rsid w:val="4C394968"/>
    <w:rsid w:val="4C4F59EF"/>
    <w:rsid w:val="4CB36B69"/>
    <w:rsid w:val="4CBB7AFF"/>
    <w:rsid w:val="4CC32450"/>
    <w:rsid w:val="4CCB7E22"/>
    <w:rsid w:val="4D1B5E55"/>
    <w:rsid w:val="4D2269B7"/>
    <w:rsid w:val="4D2624F7"/>
    <w:rsid w:val="4D462159"/>
    <w:rsid w:val="4D5C5FAC"/>
    <w:rsid w:val="4D903CAF"/>
    <w:rsid w:val="4D9513F6"/>
    <w:rsid w:val="4D9E54C8"/>
    <w:rsid w:val="4DA03BF2"/>
    <w:rsid w:val="4DBF6042"/>
    <w:rsid w:val="4DC0211A"/>
    <w:rsid w:val="4DC605B6"/>
    <w:rsid w:val="4DD636F4"/>
    <w:rsid w:val="4DEC0985"/>
    <w:rsid w:val="4DFF16E2"/>
    <w:rsid w:val="4E1C6436"/>
    <w:rsid w:val="4E24465F"/>
    <w:rsid w:val="4E27683A"/>
    <w:rsid w:val="4E334753"/>
    <w:rsid w:val="4E354B62"/>
    <w:rsid w:val="4E362D17"/>
    <w:rsid w:val="4E4955E8"/>
    <w:rsid w:val="4E4E0080"/>
    <w:rsid w:val="4E7C6450"/>
    <w:rsid w:val="4ECC56BB"/>
    <w:rsid w:val="4EF67680"/>
    <w:rsid w:val="4F063151"/>
    <w:rsid w:val="4F2765B1"/>
    <w:rsid w:val="4F285975"/>
    <w:rsid w:val="4F34639F"/>
    <w:rsid w:val="4F72687E"/>
    <w:rsid w:val="4FA647B6"/>
    <w:rsid w:val="4FB97441"/>
    <w:rsid w:val="4FE65AA8"/>
    <w:rsid w:val="4FFD30B0"/>
    <w:rsid w:val="50187D28"/>
    <w:rsid w:val="50451ABF"/>
    <w:rsid w:val="5052250D"/>
    <w:rsid w:val="506901EE"/>
    <w:rsid w:val="508648FA"/>
    <w:rsid w:val="50961E20"/>
    <w:rsid w:val="50AB610F"/>
    <w:rsid w:val="50D11CF0"/>
    <w:rsid w:val="513A477C"/>
    <w:rsid w:val="51467B21"/>
    <w:rsid w:val="515637C6"/>
    <w:rsid w:val="51867298"/>
    <w:rsid w:val="51B00AED"/>
    <w:rsid w:val="52025DEC"/>
    <w:rsid w:val="52195EDF"/>
    <w:rsid w:val="521A6AF9"/>
    <w:rsid w:val="522F787C"/>
    <w:rsid w:val="52313387"/>
    <w:rsid w:val="52450A5A"/>
    <w:rsid w:val="52B30520"/>
    <w:rsid w:val="52B529C1"/>
    <w:rsid w:val="52B9388A"/>
    <w:rsid w:val="52CC6134"/>
    <w:rsid w:val="52DC42BA"/>
    <w:rsid w:val="52E04D27"/>
    <w:rsid w:val="5332738F"/>
    <w:rsid w:val="533E743B"/>
    <w:rsid w:val="535E5E95"/>
    <w:rsid w:val="53734AFF"/>
    <w:rsid w:val="539A390F"/>
    <w:rsid w:val="53B26C25"/>
    <w:rsid w:val="53DB3477"/>
    <w:rsid w:val="53EF4810"/>
    <w:rsid w:val="53F62483"/>
    <w:rsid w:val="54266BB1"/>
    <w:rsid w:val="544E6FB0"/>
    <w:rsid w:val="54761BC2"/>
    <w:rsid w:val="54983F44"/>
    <w:rsid w:val="54A3122C"/>
    <w:rsid w:val="54AF6B42"/>
    <w:rsid w:val="54BB3E92"/>
    <w:rsid w:val="54FD3190"/>
    <w:rsid w:val="550D5818"/>
    <w:rsid w:val="555E7035"/>
    <w:rsid w:val="55913979"/>
    <w:rsid w:val="55A37985"/>
    <w:rsid w:val="55AD39C1"/>
    <w:rsid w:val="55BA37EE"/>
    <w:rsid w:val="55BF0706"/>
    <w:rsid w:val="55D0112C"/>
    <w:rsid w:val="55DD6F2A"/>
    <w:rsid w:val="564F1ABE"/>
    <w:rsid w:val="56741F15"/>
    <w:rsid w:val="56772390"/>
    <w:rsid w:val="568C0E5A"/>
    <w:rsid w:val="568F2FC7"/>
    <w:rsid w:val="56C6338F"/>
    <w:rsid w:val="56D76786"/>
    <w:rsid w:val="56E23970"/>
    <w:rsid w:val="56E86B2B"/>
    <w:rsid w:val="57002F02"/>
    <w:rsid w:val="571C3CCD"/>
    <w:rsid w:val="57503AAC"/>
    <w:rsid w:val="57596EF3"/>
    <w:rsid w:val="578F220A"/>
    <w:rsid w:val="57F5774F"/>
    <w:rsid w:val="57FC07D9"/>
    <w:rsid w:val="58500F22"/>
    <w:rsid w:val="5875427E"/>
    <w:rsid w:val="5877635F"/>
    <w:rsid w:val="588E0520"/>
    <w:rsid w:val="589A1710"/>
    <w:rsid w:val="58C31C7C"/>
    <w:rsid w:val="59014A93"/>
    <w:rsid w:val="591409E5"/>
    <w:rsid w:val="591C0009"/>
    <w:rsid w:val="593B1033"/>
    <w:rsid w:val="596C20D9"/>
    <w:rsid w:val="59724FAA"/>
    <w:rsid w:val="59752101"/>
    <w:rsid w:val="59960D90"/>
    <w:rsid w:val="59EA441A"/>
    <w:rsid w:val="59FE2A95"/>
    <w:rsid w:val="5A004298"/>
    <w:rsid w:val="5A0D7942"/>
    <w:rsid w:val="5A342F49"/>
    <w:rsid w:val="5A374932"/>
    <w:rsid w:val="5A3E7C59"/>
    <w:rsid w:val="5A8B6AF9"/>
    <w:rsid w:val="5A9E1971"/>
    <w:rsid w:val="5AAE27F7"/>
    <w:rsid w:val="5AC32943"/>
    <w:rsid w:val="5ACF0F3A"/>
    <w:rsid w:val="5B0C4E91"/>
    <w:rsid w:val="5B295AFC"/>
    <w:rsid w:val="5B910D3F"/>
    <w:rsid w:val="5BC82514"/>
    <w:rsid w:val="5C3E4F80"/>
    <w:rsid w:val="5C417E8D"/>
    <w:rsid w:val="5C6B1600"/>
    <w:rsid w:val="5C921AD0"/>
    <w:rsid w:val="5C9B41C3"/>
    <w:rsid w:val="5CA14399"/>
    <w:rsid w:val="5CAA4998"/>
    <w:rsid w:val="5CFB28E5"/>
    <w:rsid w:val="5CFC221B"/>
    <w:rsid w:val="5D0F4006"/>
    <w:rsid w:val="5D410337"/>
    <w:rsid w:val="5D48096D"/>
    <w:rsid w:val="5D4D3341"/>
    <w:rsid w:val="5D8836E1"/>
    <w:rsid w:val="5DA665F1"/>
    <w:rsid w:val="5DE11E50"/>
    <w:rsid w:val="5DE923EB"/>
    <w:rsid w:val="5DFD51DB"/>
    <w:rsid w:val="5E0D36E5"/>
    <w:rsid w:val="5E107E6E"/>
    <w:rsid w:val="5E1C75C0"/>
    <w:rsid w:val="5E5075E3"/>
    <w:rsid w:val="5EB1368B"/>
    <w:rsid w:val="5EE94C0E"/>
    <w:rsid w:val="5F29749D"/>
    <w:rsid w:val="5F306D36"/>
    <w:rsid w:val="5F5900F1"/>
    <w:rsid w:val="5F8E64F1"/>
    <w:rsid w:val="5FB25365"/>
    <w:rsid w:val="5FBF362B"/>
    <w:rsid w:val="5FC6703C"/>
    <w:rsid w:val="5FFD07E6"/>
    <w:rsid w:val="60133B25"/>
    <w:rsid w:val="601F6FA4"/>
    <w:rsid w:val="602444C8"/>
    <w:rsid w:val="60394308"/>
    <w:rsid w:val="607C3753"/>
    <w:rsid w:val="60931392"/>
    <w:rsid w:val="60AA1808"/>
    <w:rsid w:val="60C30855"/>
    <w:rsid w:val="60DF7910"/>
    <w:rsid w:val="60E80746"/>
    <w:rsid w:val="60F75813"/>
    <w:rsid w:val="6129760A"/>
    <w:rsid w:val="612C4CB6"/>
    <w:rsid w:val="612F7F06"/>
    <w:rsid w:val="61421EFD"/>
    <w:rsid w:val="61493601"/>
    <w:rsid w:val="615C5041"/>
    <w:rsid w:val="615F0947"/>
    <w:rsid w:val="619F6AEB"/>
    <w:rsid w:val="61D85F42"/>
    <w:rsid w:val="62562807"/>
    <w:rsid w:val="626A0EBF"/>
    <w:rsid w:val="629773D1"/>
    <w:rsid w:val="629C627B"/>
    <w:rsid w:val="62A15E53"/>
    <w:rsid w:val="62A73A0B"/>
    <w:rsid w:val="62B00965"/>
    <w:rsid w:val="62CC1029"/>
    <w:rsid w:val="62CD03E1"/>
    <w:rsid w:val="62DC23EB"/>
    <w:rsid w:val="62E15DBA"/>
    <w:rsid w:val="63182FFE"/>
    <w:rsid w:val="63371037"/>
    <w:rsid w:val="634C4518"/>
    <w:rsid w:val="63983EC4"/>
    <w:rsid w:val="639854D4"/>
    <w:rsid w:val="63A46822"/>
    <w:rsid w:val="63BD39CD"/>
    <w:rsid w:val="63C04533"/>
    <w:rsid w:val="63C5603D"/>
    <w:rsid w:val="63D72C60"/>
    <w:rsid w:val="64A95740"/>
    <w:rsid w:val="64AF7DF0"/>
    <w:rsid w:val="64E72AC4"/>
    <w:rsid w:val="650A0EA3"/>
    <w:rsid w:val="650F7AAA"/>
    <w:rsid w:val="65145691"/>
    <w:rsid w:val="652428CB"/>
    <w:rsid w:val="65245052"/>
    <w:rsid w:val="65417635"/>
    <w:rsid w:val="65564EE8"/>
    <w:rsid w:val="6576688A"/>
    <w:rsid w:val="65C43BE9"/>
    <w:rsid w:val="65D735F4"/>
    <w:rsid w:val="65DD063F"/>
    <w:rsid w:val="66066D0A"/>
    <w:rsid w:val="6622558B"/>
    <w:rsid w:val="66312713"/>
    <w:rsid w:val="66393CAB"/>
    <w:rsid w:val="664320A2"/>
    <w:rsid w:val="664805B8"/>
    <w:rsid w:val="665A2A0A"/>
    <w:rsid w:val="668E544C"/>
    <w:rsid w:val="669A3AC9"/>
    <w:rsid w:val="67E017FE"/>
    <w:rsid w:val="67E77F4A"/>
    <w:rsid w:val="67F31D3A"/>
    <w:rsid w:val="68045D1D"/>
    <w:rsid w:val="681B1F4D"/>
    <w:rsid w:val="68451BCA"/>
    <w:rsid w:val="684652BD"/>
    <w:rsid w:val="68901A15"/>
    <w:rsid w:val="68A96556"/>
    <w:rsid w:val="68C96DCD"/>
    <w:rsid w:val="68DE5612"/>
    <w:rsid w:val="690F418B"/>
    <w:rsid w:val="69415C00"/>
    <w:rsid w:val="695606A3"/>
    <w:rsid w:val="69767754"/>
    <w:rsid w:val="698F2FDF"/>
    <w:rsid w:val="69A57B3E"/>
    <w:rsid w:val="69A83454"/>
    <w:rsid w:val="69DC279E"/>
    <w:rsid w:val="69EE3E34"/>
    <w:rsid w:val="6A25071A"/>
    <w:rsid w:val="6A363544"/>
    <w:rsid w:val="6A673835"/>
    <w:rsid w:val="6A7A2736"/>
    <w:rsid w:val="6A7B4B9C"/>
    <w:rsid w:val="6A83637D"/>
    <w:rsid w:val="6A8D7999"/>
    <w:rsid w:val="6AA027A1"/>
    <w:rsid w:val="6AC11D22"/>
    <w:rsid w:val="6B051E88"/>
    <w:rsid w:val="6B190D70"/>
    <w:rsid w:val="6B354BA2"/>
    <w:rsid w:val="6B3D7D61"/>
    <w:rsid w:val="6B9E1D81"/>
    <w:rsid w:val="6BA651DA"/>
    <w:rsid w:val="6BBC43A7"/>
    <w:rsid w:val="6BF17AD4"/>
    <w:rsid w:val="6C2F36D3"/>
    <w:rsid w:val="6C7D1E1B"/>
    <w:rsid w:val="6C89456C"/>
    <w:rsid w:val="6C8E5FFC"/>
    <w:rsid w:val="6C970A7F"/>
    <w:rsid w:val="6C993D11"/>
    <w:rsid w:val="6CB003DA"/>
    <w:rsid w:val="6CCF7258"/>
    <w:rsid w:val="6CF60588"/>
    <w:rsid w:val="6D005E2A"/>
    <w:rsid w:val="6DA611C9"/>
    <w:rsid w:val="6DDC6B6F"/>
    <w:rsid w:val="6E0A1043"/>
    <w:rsid w:val="6E0E2009"/>
    <w:rsid w:val="6E483F97"/>
    <w:rsid w:val="6E6B09BB"/>
    <w:rsid w:val="6E800CC3"/>
    <w:rsid w:val="6E9B6042"/>
    <w:rsid w:val="6EA03D2B"/>
    <w:rsid w:val="6EA8395D"/>
    <w:rsid w:val="6EEE4117"/>
    <w:rsid w:val="6F05530A"/>
    <w:rsid w:val="6F447A5A"/>
    <w:rsid w:val="6F8161FC"/>
    <w:rsid w:val="6FA51A5F"/>
    <w:rsid w:val="6FA629D4"/>
    <w:rsid w:val="6FE43204"/>
    <w:rsid w:val="706145B1"/>
    <w:rsid w:val="707964EB"/>
    <w:rsid w:val="7087334C"/>
    <w:rsid w:val="70BB2EF0"/>
    <w:rsid w:val="70D10182"/>
    <w:rsid w:val="70D42489"/>
    <w:rsid w:val="70D46AC8"/>
    <w:rsid w:val="70EB0923"/>
    <w:rsid w:val="7111577A"/>
    <w:rsid w:val="713B41ED"/>
    <w:rsid w:val="713F26BA"/>
    <w:rsid w:val="71597A3B"/>
    <w:rsid w:val="7176163B"/>
    <w:rsid w:val="718A368C"/>
    <w:rsid w:val="71E90B0F"/>
    <w:rsid w:val="71EC6A6E"/>
    <w:rsid w:val="71F60B93"/>
    <w:rsid w:val="7239287E"/>
    <w:rsid w:val="7275543D"/>
    <w:rsid w:val="72A71F44"/>
    <w:rsid w:val="72D038BA"/>
    <w:rsid w:val="72E50C43"/>
    <w:rsid w:val="72F55F04"/>
    <w:rsid w:val="731703A9"/>
    <w:rsid w:val="73186275"/>
    <w:rsid w:val="73653682"/>
    <w:rsid w:val="73D425F7"/>
    <w:rsid w:val="73F57BA2"/>
    <w:rsid w:val="747808C4"/>
    <w:rsid w:val="74822137"/>
    <w:rsid w:val="74BD51E1"/>
    <w:rsid w:val="74FA10A7"/>
    <w:rsid w:val="75001BE0"/>
    <w:rsid w:val="750A2023"/>
    <w:rsid w:val="7511431D"/>
    <w:rsid w:val="75253776"/>
    <w:rsid w:val="7526648A"/>
    <w:rsid w:val="757D508B"/>
    <w:rsid w:val="758F5B03"/>
    <w:rsid w:val="75C171F5"/>
    <w:rsid w:val="75CB078A"/>
    <w:rsid w:val="75D00C83"/>
    <w:rsid w:val="75F644AF"/>
    <w:rsid w:val="75F96786"/>
    <w:rsid w:val="763C1508"/>
    <w:rsid w:val="766A1EAC"/>
    <w:rsid w:val="7676736A"/>
    <w:rsid w:val="76933951"/>
    <w:rsid w:val="769F659A"/>
    <w:rsid w:val="76B620C0"/>
    <w:rsid w:val="76C90859"/>
    <w:rsid w:val="76CB53B8"/>
    <w:rsid w:val="77046B81"/>
    <w:rsid w:val="77146904"/>
    <w:rsid w:val="771D661B"/>
    <w:rsid w:val="771F0F97"/>
    <w:rsid w:val="77424220"/>
    <w:rsid w:val="775E46DE"/>
    <w:rsid w:val="778D19E8"/>
    <w:rsid w:val="77C27E66"/>
    <w:rsid w:val="77D841B6"/>
    <w:rsid w:val="77D90BB3"/>
    <w:rsid w:val="77F25B29"/>
    <w:rsid w:val="781E6489"/>
    <w:rsid w:val="782235EB"/>
    <w:rsid w:val="782B1521"/>
    <w:rsid w:val="7837190C"/>
    <w:rsid w:val="78493A48"/>
    <w:rsid w:val="78511886"/>
    <w:rsid w:val="786D7E85"/>
    <w:rsid w:val="78782A0D"/>
    <w:rsid w:val="789774CE"/>
    <w:rsid w:val="789855AA"/>
    <w:rsid w:val="789F5119"/>
    <w:rsid w:val="78C640F0"/>
    <w:rsid w:val="78EE1454"/>
    <w:rsid w:val="79224A47"/>
    <w:rsid w:val="79A2171F"/>
    <w:rsid w:val="79A252FF"/>
    <w:rsid w:val="79A80381"/>
    <w:rsid w:val="79BB4356"/>
    <w:rsid w:val="79C0001B"/>
    <w:rsid w:val="79CA3E8A"/>
    <w:rsid w:val="79D33056"/>
    <w:rsid w:val="79DF50CE"/>
    <w:rsid w:val="7A184713"/>
    <w:rsid w:val="7A396D3C"/>
    <w:rsid w:val="7A626407"/>
    <w:rsid w:val="7A651CB3"/>
    <w:rsid w:val="7A7A7D68"/>
    <w:rsid w:val="7AC202F9"/>
    <w:rsid w:val="7AD42B4F"/>
    <w:rsid w:val="7B3E7526"/>
    <w:rsid w:val="7B631844"/>
    <w:rsid w:val="7B664C28"/>
    <w:rsid w:val="7B8E6D49"/>
    <w:rsid w:val="7BA36132"/>
    <w:rsid w:val="7BE13AB3"/>
    <w:rsid w:val="7C0C6436"/>
    <w:rsid w:val="7C126B8D"/>
    <w:rsid w:val="7C1B5FFE"/>
    <w:rsid w:val="7C26369C"/>
    <w:rsid w:val="7C282D74"/>
    <w:rsid w:val="7C34644E"/>
    <w:rsid w:val="7C490025"/>
    <w:rsid w:val="7C706675"/>
    <w:rsid w:val="7C89510B"/>
    <w:rsid w:val="7C9E5A24"/>
    <w:rsid w:val="7CAD3C62"/>
    <w:rsid w:val="7CB0616A"/>
    <w:rsid w:val="7CE00504"/>
    <w:rsid w:val="7CEB69C7"/>
    <w:rsid w:val="7D0E2C70"/>
    <w:rsid w:val="7D1F0C75"/>
    <w:rsid w:val="7D21072D"/>
    <w:rsid w:val="7D23440D"/>
    <w:rsid w:val="7D33410B"/>
    <w:rsid w:val="7D37341E"/>
    <w:rsid w:val="7D62117D"/>
    <w:rsid w:val="7D67229E"/>
    <w:rsid w:val="7DCA1F7D"/>
    <w:rsid w:val="7DCB3F94"/>
    <w:rsid w:val="7E027CFB"/>
    <w:rsid w:val="7E3E1EF2"/>
    <w:rsid w:val="7E4827AD"/>
    <w:rsid w:val="7E686F3E"/>
    <w:rsid w:val="7E823AFC"/>
    <w:rsid w:val="7E951513"/>
    <w:rsid w:val="7EF74FC9"/>
    <w:rsid w:val="7F2E7B0B"/>
    <w:rsid w:val="7F3D5140"/>
    <w:rsid w:val="7F417AE1"/>
    <w:rsid w:val="7F622458"/>
    <w:rsid w:val="7F9062E5"/>
    <w:rsid w:val="7F933BD8"/>
    <w:rsid w:val="7F9C6122"/>
    <w:rsid w:val="7FAF7F8E"/>
    <w:rsid w:val="7FB532AF"/>
    <w:rsid w:val="7FCF0FEF"/>
    <w:rsid w:val="7FDB2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3"/>
    <w:qFormat/>
    <w:uiPriority w:val="0"/>
    <w:pPr>
      <w:keepNext/>
      <w:keepLines/>
      <w:numPr>
        <w:ilvl w:val="0"/>
        <w:numId w:val="1"/>
      </w:numPr>
      <w:pBdr>
        <w:top w:val="single" w:color="auto" w:sz="12" w:space="3"/>
      </w:pBdr>
      <w:ind w:left="630"/>
      <w:outlineLvl w:val="0"/>
    </w:pPr>
    <w:rPr>
      <w:rFonts w:ascii="Arial" w:hAnsi="Arial" w:eastAsia="MS Mincho"/>
      <w:sz w:val="32"/>
    </w:rPr>
  </w:style>
  <w:style w:type="paragraph" w:styleId="4">
    <w:name w:val="heading 2"/>
    <w:basedOn w:val="1"/>
    <w:next w:val="1"/>
    <w:qFormat/>
    <w:uiPriority w:val="0"/>
    <w:pPr>
      <w:spacing w:before="180"/>
      <w:ind w:right="100" w:rightChars="100"/>
      <w:outlineLvl w:val="1"/>
    </w:pPr>
    <w:rPr>
      <w:sz w:val="28"/>
    </w:rPr>
  </w:style>
  <w:style w:type="paragraph" w:styleId="5">
    <w:name w:val="heading 3"/>
    <w:basedOn w:val="4"/>
    <w:next w:val="1"/>
    <w:qFormat/>
    <w:uiPriority w:val="0"/>
    <w:pPr>
      <w:spacing w:before="120"/>
      <w:outlineLvl w:val="2"/>
    </w:pPr>
    <w:rPr>
      <w:sz w:val="24"/>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3">
    <w:name w:val="YJ--正文"/>
    <w:basedOn w:val="1"/>
    <w:qFormat/>
    <w:uiPriority w:val="0"/>
    <w:pPr>
      <w:spacing w:beforeLines="150" w:afterLines="100"/>
      <w:ind w:firstLine="1440" w:firstLineChars="200"/>
    </w:pPr>
    <w:rPr>
      <w:rFonts w:eastAsia="Times New Roman" w:cs="宋体"/>
    </w:rPr>
  </w:style>
  <w:style w:type="paragraph" w:styleId="6">
    <w:name w:val="caption"/>
    <w:basedOn w:val="1"/>
    <w:next w:val="1"/>
    <w:unhideWhenUsed/>
    <w:qFormat/>
    <w:uiPriority w:val="99"/>
    <w:pPr>
      <w:spacing w:line="240" w:lineRule="auto"/>
    </w:pPr>
    <w:rPr>
      <w:b/>
      <w:bCs/>
      <w:color w:val="4F81BD" w:themeColor="accent1"/>
      <w:sz w:val="18"/>
      <w:szCs w:val="18"/>
      <w14:textFill>
        <w14:solidFill>
          <w14:schemeClr w14:val="accent1"/>
        </w14:solidFill>
      </w14:textFill>
    </w:rPr>
  </w:style>
  <w:style w:type="paragraph" w:styleId="7">
    <w:name w:val="Document Map"/>
    <w:basedOn w:val="1"/>
    <w:link w:val="53"/>
    <w:semiHidden/>
    <w:unhideWhenUsed/>
    <w:qFormat/>
    <w:uiPriority w:val="99"/>
    <w:pPr>
      <w:spacing w:line="240" w:lineRule="auto"/>
    </w:pPr>
    <w:rPr>
      <w:rFonts w:ascii="Tahoma" w:hAnsi="Tahoma" w:cs="Tahoma"/>
      <w:sz w:val="16"/>
      <w:szCs w:val="16"/>
    </w:rPr>
  </w:style>
  <w:style w:type="paragraph" w:styleId="8">
    <w:name w:val="annotation text"/>
    <w:basedOn w:val="1"/>
    <w:link w:val="54"/>
    <w:semiHidden/>
    <w:unhideWhenUsed/>
    <w:qFormat/>
    <w:uiPriority w:val="99"/>
    <w:pPr>
      <w:jc w:val="left"/>
    </w:pPr>
  </w:style>
  <w:style w:type="paragraph" w:styleId="9">
    <w:name w:val="Body Text"/>
    <w:basedOn w:val="1"/>
    <w:unhideWhenUsed/>
    <w:qFormat/>
    <w:uiPriority w:val="0"/>
    <w:pPr>
      <w:widowControl w:val="0"/>
    </w:pPr>
    <w:rPr>
      <w:i/>
    </w:r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toc 3"/>
    <w:basedOn w:val="1"/>
    <w:next w:val="1"/>
    <w:unhideWhenUsed/>
    <w:qFormat/>
    <w:uiPriority w:val="99"/>
    <w:pPr>
      <w:adjustRightInd w:val="0"/>
      <w:ind w:left="1282" w:leftChars="400" w:hanging="442" w:hangingChars="200"/>
    </w:pPr>
    <w:rPr>
      <w:b/>
      <w:i/>
      <w:sz w:val="20"/>
    </w:rPr>
  </w:style>
  <w:style w:type="paragraph" w:styleId="13">
    <w:name w:val="Balloon Text"/>
    <w:basedOn w:val="1"/>
    <w:link w:val="52"/>
    <w:semiHidden/>
    <w:unhideWhenUsed/>
    <w:qFormat/>
    <w:uiPriority w:val="99"/>
    <w:pPr>
      <w:spacing w:line="240" w:lineRule="auto"/>
    </w:pPr>
    <w:rPr>
      <w:rFonts w:ascii="Tahoma" w:hAnsi="Tahoma" w:cs="Tahoma"/>
      <w:sz w:val="16"/>
      <w:szCs w:val="16"/>
    </w:rPr>
  </w:style>
  <w:style w:type="paragraph" w:styleId="14">
    <w:name w:val="footer"/>
    <w:basedOn w:val="1"/>
    <w:link w:val="45"/>
    <w:unhideWhenUsed/>
    <w:qFormat/>
    <w:uiPriority w:val="99"/>
    <w:pPr>
      <w:tabs>
        <w:tab w:val="center" w:pos="4153"/>
        <w:tab w:val="right" w:pos="8306"/>
      </w:tabs>
      <w:snapToGrid w:val="0"/>
      <w:jc w:val="left"/>
    </w:pPr>
    <w:rPr>
      <w:sz w:val="18"/>
      <w:szCs w:val="18"/>
    </w:rPr>
  </w:style>
  <w:style w:type="paragraph" w:styleId="15">
    <w:name w:val="header"/>
    <w:basedOn w:val="1"/>
    <w:link w:val="44"/>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unhideWhenUsed/>
    <w:qFormat/>
    <w:uiPriority w:val="39"/>
    <w:pPr>
      <w:spacing w:before="50" w:after="50"/>
      <w:ind w:left="862" w:leftChars="200"/>
    </w:pPr>
    <w:rPr>
      <w:b/>
      <w:i/>
      <w:sz w:val="20"/>
    </w:rPr>
  </w:style>
  <w:style w:type="paragraph" w:styleId="19">
    <w:name w:val="Normal (Web)"/>
    <w:basedOn w:val="1"/>
    <w:semiHidden/>
    <w:unhideWhenUsed/>
    <w:qFormat/>
    <w:uiPriority w:val="0"/>
    <w:pPr>
      <w:spacing w:beforeAutospacing="1" w:afterAutospacing="1"/>
      <w:jc w:val="left"/>
    </w:pPr>
    <w:rPr>
      <w:kern w:val="0"/>
      <w:sz w:val="24"/>
    </w:rPr>
  </w:style>
  <w:style w:type="paragraph" w:styleId="20">
    <w:name w:val="annotation subject"/>
    <w:basedOn w:val="8"/>
    <w:next w:val="8"/>
    <w:link w:val="55"/>
    <w:semiHidden/>
    <w:unhideWhenUsed/>
    <w:qFormat/>
    <w:uiPriority w:val="99"/>
    <w:pPr>
      <w:spacing w:line="240" w:lineRule="auto"/>
      <w:jc w:val="both"/>
    </w:pPr>
    <w:rPr>
      <w:b/>
      <w:bCs/>
      <w:sz w:val="20"/>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22"/>
    <w:rPr>
      <w:b/>
      <w:bCs/>
    </w:rPr>
  </w:style>
  <w:style w:type="character" w:styleId="25">
    <w:name w:val="page number"/>
    <w:basedOn w:val="23"/>
    <w:semiHidden/>
    <w:qFormat/>
    <w:uiPriority w:val="0"/>
  </w:style>
  <w:style w:type="character" w:styleId="26">
    <w:name w:val="Emphasis"/>
    <w:qFormat/>
    <w:uiPriority w:val="0"/>
    <w:rPr>
      <w:i/>
      <w:iCs/>
    </w:rPr>
  </w:style>
  <w:style w:type="character" w:styleId="27">
    <w:name w:val="Hyperlink"/>
    <w:basedOn w:val="23"/>
    <w:unhideWhenUsed/>
    <w:qFormat/>
    <w:uiPriority w:val="99"/>
    <w:rPr>
      <w:color w:val="0000FF" w:themeColor="hyperlink"/>
      <w:u w:val="single"/>
      <w14:textFill>
        <w14:solidFill>
          <w14:schemeClr w14:val="hlink"/>
        </w14:solidFill>
      </w14:textFill>
    </w:rPr>
  </w:style>
  <w:style w:type="character" w:styleId="28">
    <w:name w:val="annotation reference"/>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sub-proposal"/>
    <w:basedOn w:val="29"/>
    <w:next w:val="1"/>
    <w:qFormat/>
    <w:uiPriority w:val="0"/>
    <w:pPr>
      <w:numPr>
        <w:numId w:val="4"/>
      </w:numPr>
      <w:tabs>
        <w:tab w:val="left" w:pos="807"/>
        <w:tab w:val="left" w:pos="2067"/>
      </w:tabs>
      <w:ind w:left="862" w:leftChars="200" w:hanging="442" w:hangingChars="200"/>
    </w:pPr>
  </w:style>
  <w:style w:type="paragraph" w:customStyle="1" w:styleId="32">
    <w:name w:val="sub-observation"/>
    <w:basedOn w:val="31"/>
    <w:next w:val="1"/>
    <w:qFormat/>
    <w:uiPriority w:val="0"/>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56"/>
    <w:qFormat/>
    <w:uiPriority w:val="34"/>
    <w:pPr>
      <w:spacing w:beforeLines="0" w:line="240" w:lineRule="auto"/>
      <w:ind w:left="720"/>
      <w:contextualSpacing/>
    </w:pPr>
    <w:rPr>
      <w:rFonts w:eastAsia="Times New Roman"/>
      <w:sz w:val="24"/>
      <w:szCs w:val="24"/>
    </w:rPr>
  </w:style>
  <w:style w:type="paragraph" w:customStyle="1" w:styleId="35">
    <w:name w:val="样式1"/>
    <w:basedOn w:val="1"/>
    <w:qFormat/>
    <w:uiPriority w:val="0"/>
  </w:style>
  <w:style w:type="paragraph" w:customStyle="1" w:styleId="36">
    <w:name w:val="3rd level proposal"/>
    <w:basedOn w:val="31"/>
    <w:next w:val="1"/>
    <w:qFormat/>
    <w:uiPriority w:val="0"/>
    <w:pPr>
      <w:numPr>
        <w:ilvl w:val="0"/>
        <w:numId w:val="6"/>
      </w:numPr>
      <w:ind w:left="1282" w:leftChars="400" w:hanging="442"/>
      <w:jc w:val="left"/>
    </w:pPr>
  </w:style>
  <w:style w:type="paragraph" w:customStyle="1" w:styleId="37">
    <w:name w:val="样式2"/>
    <w:basedOn w:val="1"/>
    <w:qFormat/>
    <w:uiPriority w:val="0"/>
  </w:style>
  <w:style w:type="paragraph" w:customStyle="1" w:styleId="38">
    <w:name w:val="3rd level observation"/>
    <w:basedOn w:val="32"/>
    <w:qFormat/>
    <w:uiPriority w:val="0"/>
    <w:pPr>
      <w:numPr>
        <w:ilvl w:val="0"/>
        <w:numId w:val="7"/>
      </w:numPr>
      <w:ind w:left="1282" w:leftChars="400" w:hanging="442"/>
    </w:pPr>
  </w:style>
  <w:style w:type="paragraph" w:customStyle="1" w:styleId="39">
    <w:name w:val="main text"/>
    <w:basedOn w:val="1"/>
    <w:qFormat/>
    <w:uiPriority w:val="0"/>
    <w:pPr>
      <w:spacing w:before="60" w:after="60" w:line="288" w:lineRule="auto"/>
      <w:ind w:firstLine="200" w:firstLineChars="200"/>
    </w:pPr>
    <w:rPr>
      <w:rFonts w:eastAsia="Malgun Gothic"/>
      <w:lang w:eastAsia="ko-KR"/>
    </w:rPr>
  </w:style>
  <w:style w:type="paragraph" w:customStyle="1" w:styleId="40">
    <w:name w:val="TH"/>
    <w:basedOn w:val="1"/>
    <w:qFormat/>
    <w:uiPriority w:val="0"/>
    <w:pPr>
      <w:keepNext/>
      <w:keepLines/>
      <w:spacing w:beforeLines="0" w:afterLines="0"/>
      <w:jc w:val="center"/>
    </w:pPr>
    <w:rPr>
      <w:rFonts w:ascii="Arial" w:hAnsi="Arial" w:eastAsia="Times New Roman" w:cs="Arial"/>
      <w:b/>
      <w:bCs/>
      <w:kern w:val="0"/>
      <w:sz w:val="24"/>
      <w:szCs w:val="24"/>
      <w:lang w:val="zh-CN" w:eastAsia="en-US"/>
    </w:rPr>
  </w:style>
  <w:style w:type="paragraph" w:customStyle="1" w:styleId="41">
    <w:name w:val="TAH"/>
    <w:basedOn w:val="42"/>
    <w:qFormat/>
    <w:uiPriority w:val="0"/>
    <w:rPr>
      <w:b/>
    </w:rPr>
  </w:style>
  <w:style w:type="paragraph" w:customStyle="1" w:styleId="42">
    <w:name w:val="TAC"/>
    <w:basedOn w:val="43"/>
    <w:qFormat/>
    <w:uiPriority w:val="0"/>
    <w:pPr>
      <w:spacing w:beforeLines="0" w:afterLines="0"/>
      <w:jc w:val="center"/>
    </w:pPr>
    <w:rPr>
      <w:rFonts w:eastAsia="Times New Roman" w:cs="Arial"/>
      <w:kern w:val="0"/>
      <w:szCs w:val="18"/>
      <w:lang w:val="zh-CN" w:eastAsia="en-US"/>
    </w:rPr>
  </w:style>
  <w:style w:type="paragraph" w:customStyle="1" w:styleId="43">
    <w:name w:val="TAL"/>
    <w:basedOn w:val="1"/>
    <w:qFormat/>
    <w:uiPriority w:val="0"/>
    <w:pPr>
      <w:keepNext/>
      <w:keepLines/>
    </w:pPr>
    <w:rPr>
      <w:rFonts w:ascii="Arial" w:hAnsi="Arial"/>
      <w:sz w:val="18"/>
    </w:rPr>
  </w:style>
  <w:style w:type="character" w:customStyle="1" w:styleId="44">
    <w:name w:val="页眉 Char"/>
    <w:basedOn w:val="23"/>
    <w:link w:val="15"/>
    <w:semiHidden/>
    <w:qFormat/>
    <w:uiPriority w:val="0"/>
    <w:rPr>
      <w:kern w:val="2"/>
      <w:sz w:val="21"/>
    </w:rPr>
  </w:style>
  <w:style w:type="character" w:customStyle="1" w:styleId="45">
    <w:name w:val="页脚 Char"/>
    <w:basedOn w:val="23"/>
    <w:link w:val="14"/>
    <w:qFormat/>
    <w:uiPriority w:val="99"/>
    <w:rPr>
      <w:kern w:val="2"/>
      <w:sz w:val="18"/>
      <w:szCs w:val="18"/>
    </w:rPr>
  </w:style>
  <w:style w:type="paragraph" w:customStyle="1" w:styleId="4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GB" w:eastAsia="en-GB" w:bidi="ar-SA"/>
    </w:rPr>
  </w:style>
  <w:style w:type="character" w:customStyle="1" w:styleId="47">
    <w:name w:val="colour"/>
    <w:basedOn w:val="23"/>
    <w:qFormat/>
    <w:uiPriority w:val="0"/>
  </w:style>
  <w:style w:type="paragraph" w:customStyle="1" w:styleId="48">
    <w:name w:val="B1"/>
    <w:basedOn w:val="11"/>
    <w:qFormat/>
    <w:uiPriority w:val="0"/>
  </w:style>
  <w:style w:type="paragraph" w:customStyle="1" w:styleId="49">
    <w:name w:val="B2"/>
    <w:basedOn w:val="10"/>
    <w:qFormat/>
    <w:uiPriority w:val="0"/>
  </w:style>
  <w:style w:type="character" w:customStyle="1" w:styleId="50">
    <w:name w:val="fontstyle01"/>
    <w:basedOn w:val="23"/>
    <w:qFormat/>
    <w:uiPriority w:val="0"/>
    <w:rPr>
      <w:rFonts w:hint="default" w:ascii="Times New Roman" w:hAnsi="Times New Roman" w:cs="Times New Roman"/>
      <w:i/>
      <w:iCs/>
      <w:color w:val="000000"/>
      <w:sz w:val="20"/>
      <w:szCs w:val="20"/>
    </w:rPr>
  </w:style>
  <w:style w:type="paragraph" w:customStyle="1" w:styleId="51">
    <w:name w:val="3GPP Normal Text"/>
    <w:basedOn w:val="9"/>
    <w:qFormat/>
    <w:uiPriority w:val="0"/>
    <w:rPr>
      <w:rFonts w:eastAsia="MS Mincho"/>
      <w:sz w:val="22"/>
    </w:rPr>
  </w:style>
  <w:style w:type="character" w:customStyle="1" w:styleId="52">
    <w:name w:val="批注框文本 Char"/>
    <w:basedOn w:val="23"/>
    <w:link w:val="13"/>
    <w:semiHidden/>
    <w:qFormat/>
    <w:uiPriority w:val="99"/>
    <w:rPr>
      <w:rFonts w:ascii="Tahoma" w:hAnsi="Tahoma" w:eastAsia="宋体" w:cs="Tahoma"/>
      <w:kern w:val="2"/>
      <w:sz w:val="16"/>
      <w:szCs w:val="16"/>
    </w:rPr>
  </w:style>
  <w:style w:type="character" w:customStyle="1" w:styleId="53">
    <w:name w:val="文档结构图 Char"/>
    <w:basedOn w:val="23"/>
    <w:link w:val="7"/>
    <w:semiHidden/>
    <w:qFormat/>
    <w:uiPriority w:val="99"/>
    <w:rPr>
      <w:rFonts w:ascii="Tahoma" w:hAnsi="Tahoma" w:eastAsia="宋体" w:cs="Tahoma"/>
      <w:kern w:val="2"/>
      <w:sz w:val="16"/>
      <w:szCs w:val="16"/>
    </w:rPr>
  </w:style>
  <w:style w:type="character" w:customStyle="1" w:styleId="54">
    <w:name w:val="批注文字 Char"/>
    <w:basedOn w:val="23"/>
    <w:link w:val="8"/>
    <w:semiHidden/>
    <w:qFormat/>
    <w:uiPriority w:val="99"/>
    <w:rPr>
      <w:rFonts w:eastAsia="宋体"/>
      <w:kern w:val="2"/>
      <w:sz w:val="21"/>
    </w:rPr>
  </w:style>
  <w:style w:type="character" w:customStyle="1" w:styleId="55">
    <w:name w:val="批注主题 Char"/>
    <w:basedOn w:val="54"/>
    <w:link w:val="20"/>
    <w:qFormat/>
    <w:uiPriority w:val="0"/>
    <w:rPr>
      <w:rFonts w:eastAsia="宋体"/>
      <w:kern w:val="2"/>
      <w:sz w:val="21"/>
    </w:rPr>
  </w:style>
  <w:style w:type="character" w:customStyle="1" w:styleId="56">
    <w:name w:val="列出段落 Char"/>
    <w:basedOn w:val="23"/>
    <w:link w:val="34"/>
    <w:qFormat/>
    <w:uiPriority w:val="11"/>
    <w:rPr>
      <w:rFonts w:eastAsia="Times New Roman"/>
      <w:sz w:val="24"/>
      <w:szCs w:val="24"/>
    </w:rPr>
  </w:style>
  <w:style w:type="character" w:customStyle="1" w:styleId="5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3AF69-DF0D-429C-94F8-380CC01BC087}">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2321</Words>
  <Characters>13230</Characters>
  <Lines>110</Lines>
  <Paragraphs>31</Paragraphs>
  <TotalTime>27</TotalTime>
  <ScaleCrop>false</ScaleCrop>
  <LinksUpToDate>false</LinksUpToDate>
  <CharactersWithSpaces>15520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2021-01-18T02:40:00Z</dcterms:created>
  <dc:creator>ZTE</dc:creator>
  <cp:lastModifiedBy>10110645</cp:lastModifiedBy>
  <dcterms:modified xsi:type="dcterms:W3CDTF">2021-09-30T12:46:46Z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